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DE687" w14:textId="77777777" w:rsidR="004A4A5D" w:rsidRDefault="000E2737">
      <w:pPr>
        <w:autoSpaceDE w:val="0"/>
        <w:autoSpaceDN w:val="0"/>
        <w:adjustRightInd w:val="0"/>
        <w:spacing w:after="0"/>
        <w:rPr>
          <w:rFonts w:ascii="Arial" w:hAnsi="Arial" w:cs="Arial"/>
          <w:b/>
          <w:sz w:val="20"/>
          <w:u w:val="single"/>
        </w:rPr>
      </w:pPr>
      <w:bookmarkStart w:id="0" w:name="_GoBack"/>
      <w:bookmarkEnd w:id="0"/>
      <w:r>
        <w:rPr>
          <w:rFonts w:ascii="Arial" w:hAnsi="Arial" w:cs="Arial"/>
          <w:noProof/>
          <w:u w:val="single"/>
          <w:lang w:eastAsia="el-GR"/>
        </w:rPr>
        <w:drawing>
          <wp:inline distT="0" distB="0" distL="0" distR="0" wp14:anchorId="3B521B6D" wp14:editId="57F2EDE0">
            <wp:extent cx="1495425" cy="895350"/>
            <wp:effectExtent l="19050" t="0" r="9525" b="0"/>
            <wp:docPr id="1" name="Εικόνα 1" descr="SPE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PEF_Logo"/>
                    <pic:cNvPicPr>
                      <a:picLocks noChangeAspect="1" noChangeArrowheads="1"/>
                    </pic:cNvPicPr>
                  </pic:nvPicPr>
                  <pic:blipFill>
                    <a:blip r:embed="rId8"/>
                    <a:srcRect/>
                    <a:stretch>
                      <a:fillRect/>
                    </a:stretch>
                  </pic:blipFill>
                  <pic:spPr bwMode="auto">
                    <a:xfrm>
                      <a:off x="0" y="0"/>
                      <a:ext cx="1495425" cy="895350"/>
                    </a:xfrm>
                    <a:prstGeom prst="rect">
                      <a:avLst/>
                    </a:prstGeom>
                    <a:noFill/>
                    <a:ln w="9525">
                      <a:noFill/>
                      <a:miter lim="800000"/>
                      <a:headEnd/>
                      <a:tailEnd/>
                    </a:ln>
                  </pic:spPr>
                </pic:pic>
              </a:graphicData>
            </a:graphic>
          </wp:inline>
        </w:drawing>
      </w:r>
      <w:r w:rsidR="00700D74">
        <w:rPr>
          <w:rFonts w:ascii="Arial" w:hAnsi="Arial" w:cs="Arial"/>
          <w:b/>
          <w:sz w:val="20"/>
          <w:u w:val="single"/>
        </w:rPr>
        <w:t xml:space="preserve">      </w:t>
      </w:r>
      <w:r w:rsidR="004A4A5D">
        <w:rPr>
          <w:rFonts w:ascii="Arial" w:hAnsi="Arial" w:cs="Arial"/>
          <w:b/>
          <w:sz w:val="20"/>
          <w:u w:val="single"/>
        </w:rPr>
        <w:t>ΣΥΝΔΕΣΜΟΣ ΠΑΡΑΓΩΓΩΝ ΕΝΕΡΓΕΙΑΣ με ΦΩΤΟΒΟΛΤΑΪΚΑ</w:t>
      </w:r>
    </w:p>
    <w:p w14:paraId="2E013AD9" w14:textId="77777777" w:rsidR="000C0E59" w:rsidRPr="004B591E" w:rsidRDefault="000C0E59" w:rsidP="000C0E59">
      <w:pPr>
        <w:autoSpaceDE w:val="0"/>
        <w:autoSpaceDN w:val="0"/>
        <w:adjustRightInd w:val="0"/>
        <w:spacing w:after="0"/>
        <w:rPr>
          <w:rFonts w:ascii="Arial" w:hAnsi="Arial" w:cs="Arial"/>
          <w:b/>
          <w:sz w:val="20"/>
          <w:u w:val="single"/>
        </w:rPr>
      </w:pPr>
      <w:r>
        <w:rPr>
          <w:rFonts w:ascii="Arial" w:hAnsi="Arial" w:cs="Arial"/>
          <w:sz w:val="18"/>
          <w:szCs w:val="18"/>
        </w:rPr>
        <w:t>Γ΄ Σεπτεμβρίου 144, 112 51</w:t>
      </w:r>
      <w:r w:rsidRPr="004B591E">
        <w:rPr>
          <w:rFonts w:ascii="Arial" w:hAnsi="Arial" w:cs="Arial"/>
          <w:sz w:val="18"/>
          <w:szCs w:val="18"/>
        </w:rPr>
        <w:t xml:space="preserve"> </w:t>
      </w:r>
      <w:r>
        <w:rPr>
          <w:rFonts w:ascii="Arial" w:hAnsi="Arial" w:cs="Arial"/>
          <w:sz w:val="18"/>
          <w:szCs w:val="18"/>
        </w:rPr>
        <w:t>Αθήνα</w:t>
      </w:r>
      <w:r w:rsidRPr="004B591E">
        <w:rPr>
          <w:rFonts w:ascii="Arial" w:hAnsi="Arial" w:cs="Arial"/>
          <w:sz w:val="18"/>
          <w:szCs w:val="18"/>
        </w:rPr>
        <w:t xml:space="preserve">, </w:t>
      </w:r>
      <w:r w:rsidRPr="00A86C67">
        <w:rPr>
          <w:rFonts w:ascii="Arial" w:hAnsi="Arial" w:cs="Arial"/>
          <w:sz w:val="18"/>
          <w:szCs w:val="18"/>
        </w:rPr>
        <w:t>Τηλ</w:t>
      </w:r>
      <w:r>
        <w:rPr>
          <w:rFonts w:ascii="Arial" w:hAnsi="Arial" w:cs="Arial"/>
          <w:sz w:val="18"/>
          <w:szCs w:val="18"/>
        </w:rPr>
        <w:t xml:space="preserve">: </w:t>
      </w:r>
      <w:r w:rsidRPr="004B591E">
        <w:rPr>
          <w:rFonts w:ascii="Arial" w:hAnsi="Arial" w:cs="Arial"/>
          <w:sz w:val="18"/>
          <w:szCs w:val="18"/>
        </w:rPr>
        <w:t xml:space="preserve">210-6854035, </w:t>
      </w:r>
      <w:r w:rsidRPr="00A86C67">
        <w:rPr>
          <w:rFonts w:ascii="Arial" w:hAnsi="Arial" w:cs="Arial"/>
          <w:sz w:val="18"/>
          <w:szCs w:val="18"/>
          <w:lang w:val="en-US"/>
        </w:rPr>
        <w:t>e</w:t>
      </w:r>
      <w:r w:rsidRPr="004B591E">
        <w:rPr>
          <w:rFonts w:ascii="Arial" w:hAnsi="Arial" w:cs="Arial"/>
          <w:sz w:val="18"/>
          <w:szCs w:val="18"/>
        </w:rPr>
        <w:t>-</w:t>
      </w:r>
      <w:r w:rsidRPr="00A86C67">
        <w:rPr>
          <w:rFonts w:ascii="Arial" w:hAnsi="Arial" w:cs="Arial"/>
          <w:sz w:val="18"/>
          <w:szCs w:val="18"/>
          <w:lang w:val="en-US"/>
        </w:rPr>
        <w:t>mail</w:t>
      </w:r>
      <w:r w:rsidRPr="004B591E">
        <w:rPr>
          <w:rFonts w:ascii="Arial" w:hAnsi="Arial" w:cs="Arial"/>
          <w:sz w:val="18"/>
          <w:szCs w:val="18"/>
        </w:rPr>
        <w:t xml:space="preserve">: </w:t>
      </w:r>
      <w:r w:rsidR="006A7785">
        <w:fldChar w:fldCharType="begin"/>
      </w:r>
      <w:r w:rsidR="006A7785">
        <w:instrText xml:space="preserve"> HYPERLINK "mailto:grammateiaspef@gmail.com" </w:instrText>
      </w:r>
      <w:r w:rsidR="006A7785">
        <w:fldChar w:fldCharType="separate"/>
      </w:r>
      <w:r w:rsidRPr="00DC1A69">
        <w:rPr>
          <w:rStyle w:val="Hyperlink"/>
          <w:rFonts w:ascii="Arial" w:hAnsi="Arial" w:cs="Arial"/>
          <w:sz w:val="18"/>
          <w:szCs w:val="18"/>
          <w:lang w:val="en-US"/>
        </w:rPr>
        <w:t>grammateiaspef</w:t>
      </w:r>
      <w:r w:rsidRPr="00DC1A69">
        <w:rPr>
          <w:rStyle w:val="Hyperlink"/>
          <w:rFonts w:ascii="Arial" w:hAnsi="Arial" w:cs="Arial"/>
          <w:sz w:val="18"/>
          <w:szCs w:val="18"/>
        </w:rPr>
        <w:t>@</w:t>
      </w:r>
      <w:r w:rsidRPr="00DC1A69">
        <w:rPr>
          <w:rStyle w:val="Hyperlink"/>
          <w:rFonts w:ascii="Arial" w:hAnsi="Arial" w:cs="Arial"/>
          <w:sz w:val="18"/>
          <w:szCs w:val="18"/>
          <w:lang w:val="en-US"/>
        </w:rPr>
        <w:t>gmail</w:t>
      </w:r>
      <w:r w:rsidRPr="00DC1A69">
        <w:rPr>
          <w:rStyle w:val="Hyperlink"/>
          <w:rFonts w:ascii="Arial" w:hAnsi="Arial" w:cs="Arial"/>
          <w:sz w:val="18"/>
          <w:szCs w:val="18"/>
        </w:rPr>
        <w:t>.</w:t>
      </w:r>
      <w:r w:rsidRPr="00DC1A69">
        <w:rPr>
          <w:rStyle w:val="Hyperlink"/>
          <w:rFonts w:ascii="Arial" w:hAnsi="Arial" w:cs="Arial"/>
          <w:sz w:val="18"/>
          <w:szCs w:val="18"/>
          <w:lang w:val="en-US"/>
        </w:rPr>
        <w:t>com</w:t>
      </w:r>
      <w:r w:rsidR="006A7785">
        <w:rPr>
          <w:rStyle w:val="Hyperlink"/>
          <w:rFonts w:ascii="Arial" w:hAnsi="Arial" w:cs="Arial"/>
          <w:sz w:val="18"/>
          <w:szCs w:val="18"/>
          <w:lang w:val="en-US"/>
        </w:rPr>
        <w:fldChar w:fldCharType="end"/>
      </w:r>
      <w:r w:rsidRPr="004B591E">
        <w:rPr>
          <w:rStyle w:val="Hyperlink"/>
          <w:rFonts w:ascii="Arial" w:hAnsi="Arial" w:cs="Arial"/>
          <w:sz w:val="18"/>
          <w:szCs w:val="18"/>
        </w:rPr>
        <w:t xml:space="preserve">, </w:t>
      </w:r>
      <w:r w:rsidRPr="00A86C67">
        <w:rPr>
          <w:rFonts w:ascii="Arial" w:hAnsi="Arial" w:cs="Arial"/>
          <w:sz w:val="18"/>
          <w:szCs w:val="18"/>
          <w:lang w:val="en-US"/>
        </w:rPr>
        <w:t>www</w:t>
      </w:r>
      <w:r w:rsidRPr="004B591E">
        <w:rPr>
          <w:rFonts w:ascii="Arial" w:hAnsi="Arial" w:cs="Arial"/>
          <w:sz w:val="18"/>
          <w:szCs w:val="18"/>
        </w:rPr>
        <w:t>.</w:t>
      </w:r>
      <w:proofErr w:type="spellStart"/>
      <w:r w:rsidRPr="00A86C67">
        <w:rPr>
          <w:rFonts w:ascii="Arial" w:hAnsi="Arial" w:cs="Arial"/>
          <w:sz w:val="18"/>
          <w:szCs w:val="18"/>
          <w:lang w:val="en-US"/>
        </w:rPr>
        <w:t>spef</w:t>
      </w:r>
      <w:proofErr w:type="spellEnd"/>
      <w:r w:rsidRPr="004B591E">
        <w:rPr>
          <w:rFonts w:ascii="Arial" w:hAnsi="Arial" w:cs="Arial"/>
          <w:sz w:val="18"/>
          <w:szCs w:val="18"/>
        </w:rPr>
        <w:t>.</w:t>
      </w:r>
      <w:r w:rsidRPr="00A86C67">
        <w:rPr>
          <w:rFonts w:ascii="Arial" w:hAnsi="Arial" w:cs="Arial"/>
          <w:sz w:val="18"/>
          <w:szCs w:val="18"/>
          <w:lang w:val="en-US"/>
        </w:rPr>
        <w:t>gr</w:t>
      </w:r>
    </w:p>
    <w:p w14:paraId="5861F6D7" w14:textId="77777777" w:rsidR="004A4A5D" w:rsidRPr="00A17217" w:rsidRDefault="004A4A5D">
      <w:pPr>
        <w:autoSpaceDE w:val="0"/>
        <w:autoSpaceDN w:val="0"/>
        <w:adjustRightInd w:val="0"/>
        <w:spacing w:after="0"/>
        <w:jc w:val="right"/>
        <w:rPr>
          <w:rFonts w:ascii="Arial" w:hAnsi="Arial" w:cs="Arial"/>
          <w:sz w:val="20"/>
        </w:rPr>
      </w:pPr>
    </w:p>
    <w:p w14:paraId="41476CE0" w14:textId="139BC776" w:rsidR="004A4A5D" w:rsidRPr="00A83906" w:rsidRDefault="004A4A5D" w:rsidP="00B128EC">
      <w:pPr>
        <w:autoSpaceDE w:val="0"/>
        <w:autoSpaceDN w:val="0"/>
        <w:adjustRightInd w:val="0"/>
        <w:spacing w:after="0"/>
        <w:jc w:val="right"/>
        <w:rPr>
          <w:rFonts w:asciiTheme="minorHAnsi" w:hAnsiTheme="minorHAnsi" w:cs="Arial"/>
          <w:sz w:val="20"/>
          <w:szCs w:val="20"/>
        </w:rPr>
      </w:pPr>
      <w:r w:rsidRPr="00A83906">
        <w:rPr>
          <w:rFonts w:asciiTheme="minorHAnsi" w:hAnsiTheme="minorHAnsi" w:cs="Arial"/>
          <w:sz w:val="20"/>
          <w:szCs w:val="20"/>
        </w:rPr>
        <w:t xml:space="preserve"> Αθήνα, </w:t>
      </w:r>
      <w:r w:rsidR="008616D8" w:rsidRPr="00FF684F">
        <w:rPr>
          <w:rFonts w:asciiTheme="minorHAnsi" w:hAnsiTheme="minorHAnsi" w:cs="Arial"/>
          <w:sz w:val="20"/>
          <w:szCs w:val="20"/>
        </w:rPr>
        <w:t>2</w:t>
      </w:r>
      <w:r w:rsidR="00EB1F77">
        <w:rPr>
          <w:rFonts w:asciiTheme="minorHAnsi" w:hAnsiTheme="minorHAnsi" w:cs="Arial"/>
          <w:sz w:val="20"/>
          <w:szCs w:val="20"/>
        </w:rPr>
        <w:t>0</w:t>
      </w:r>
      <w:r w:rsidRPr="00A83906">
        <w:rPr>
          <w:rFonts w:asciiTheme="minorHAnsi" w:hAnsiTheme="minorHAnsi" w:cs="Arial"/>
          <w:sz w:val="20"/>
          <w:szCs w:val="20"/>
        </w:rPr>
        <w:t>/</w:t>
      </w:r>
      <w:r w:rsidR="000C0E59">
        <w:rPr>
          <w:rFonts w:asciiTheme="minorHAnsi" w:hAnsiTheme="minorHAnsi" w:cs="Arial"/>
          <w:sz w:val="20"/>
          <w:szCs w:val="20"/>
        </w:rPr>
        <w:t>1</w:t>
      </w:r>
      <w:r w:rsidR="00F92D3F">
        <w:rPr>
          <w:rFonts w:asciiTheme="minorHAnsi" w:hAnsiTheme="minorHAnsi" w:cs="Arial"/>
          <w:sz w:val="20"/>
          <w:szCs w:val="20"/>
        </w:rPr>
        <w:t>2</w:t>
      </w:r>
      <w:r w:rsidRPr="00A83906">
        <w:rPr>
          <w:rFonts w:asciiTheme="minorHAnsi" w:hAnsiTheme="minorHAnsi" w:cs="Arial"/>
          <w:sz w:val="20"/>
          <w:szCs w:val="20"/>
        </w:rPr>
        <w:t>/</w:t>
      </w:r>
      <w:r w:rsidR="00A83906">
        <w:rPr>
          <w:rFonts w:asciiTheme="minorHAnsi" w:hAnsiTheme="minorHAnsi" w:cs="Arial"/>
          <w:sz w:val="20"/>
          <w:szCs w:val="20"/>
        </w:rPr>
        <w:t>20</w:t>
      </w:r>
    </w:p>
    <w:p w14:paraId="6C8FF293" w14:textId="77777777" w:rsidR="00BA6827" w:rsidRPr="00A83906" w:rsidRDefault="00BA6827" w:rsidP="00BA6827">
      <w:pPr>
        <w:tabs>
          <w:tab w:val="center" w:pos="4395"/>
          <w:tab w:val="right" w:pos="8505"/>
        </w:tabs>
        <w:spacing w:after="0" w:line="240" w:lineRule="auto"/>
        <w:rPr>
          <w:rFonts w:eastAsia="Times New Roman" w:cs="Arial"/>
          <w:color w:val="000000"/>
          <w:sz w:val="20"/>
          <w:szCs w:val="20"/>
          <w:u w:val="single"/>
          <w:lang w:eastAsia="el-GR"/>
        </w:rPr>
      </w:pPr>
      <w:r w:rsidRPr="00A83906">
        <w:rPr>
          <w:rFonts w:eastAsia="Times New Roman" w:cs="Arial"/>
          <w:color w:val="000000"/>
          <w:sz w:val="20"/>
          <w:szCs w:val="20"/>
          <w:u w:val="single"/>
          <w:lang w:eastAsia="el-GR"/>
        </w:rPr>
        <w:t>Προς:</w:t>
      </w:r>
    </w:p>
    <w:p w14:paraId="6959EC5C" w14:textId="77777777" w:rsidR="00910AA9" w:rsidRPr="00A83906" w:rsidRDefault="00910AA9" w:rsidP="00910AA9">
      <w:pPr>
        <w:tabs>
          <w:tab w:val="center" w:pos="4395"/>
          <w:tab w:val="right" w:pos="8505"/>
        </w:tabs>
        <w:spacing w:after="0" w:line="240" w:lineRule="auto"/>
        <w:rPr>
          <w:rFonts w:eastAsia="Times New Roman" w:cs="Arial"/>
          <w:b/>
          <w:color w:val="000000"/>
          <w:sz w:val="20"/>
          <w:szCs w:val="20"/>
          <w:lang w:eastAsia="el-GR"/>
        </w:rPr>
      </w:pPr>
      <w:r w:rsidRPr="00A83906">
        <w:rPr>
          <w:rFonts w:eastAsia="Times New Roman" w:cs="Arial"/>
          <w:b/>
          <w:color w:val="000000"/>
          <w:sz w:val="20"/>
          <w:szCs w:val="20"/>
          <w:lang w:eastAsia="el-GR"/>
        </w:rPr>
        <w:t>Ρυθμιστική Αρχή Ενέργειας</w:t>
      </w:r>
    </w:p>
    <w:p w14:paraId="39CD621C" w14:textId="77777777" w:rsidR="00910AA9" w:rsidRPr="00A83906" w:rsidRDefault="00910AA9" w:rsidP="00910AA9">
      <w:pPr>
        <w:spacing w:after="0" w:line="240" w:lineRule="auto"/>
        <w:jc w:val="both"/>
        <w:rPr>
          <w:sz w:val="20"/>
          <w:szCs w:val="20"/>
        </w:rPr>
      </w:pPr>
      <w:r w:rsidRPr="00A83906">
        <w:rPr>
          <w:sz w:val="20"/>
          <w:szCs w:val="20"/>
        </w:rPr>
        <w:t>Πειραιώς 132, 118 54 Αθήνα</w:t>
      </w:r>
    </w:p>
    <w:p w14:paraId="17399A1A" w14:textId="457D4339" w:rsidR="00910AA9" w:rsidRPr="00A83906" w:rsidRDefault="00910AA9" w:rsidP="00910AA9">
      <w:pPr>
        <w:spacing w:after="0" w:line="240" w:lineRule="auto"/>
        <w:jc w:val="both"/>
        <w:rPr>
          <w:sz w:val="20"/>
          <w:szCs w:val="20"/>
        </w:rPr>
      </w:pPr>
      <w:r w:rsidRPr="00A83906">
        <w:rPr>
          <w:sz w:val="20"/>
          <w:szCs w:val="20"/>
        </w:rPr>
        <w:t xml:space="preserve">Υπ’ όψη : Προέδρου </w:t>
      </w:r>
      <w:r w:rsidR="000C0E59">
        <w:rPr>
          <w:sz w:val="20"/>
          <w:szCs w:val="20"/>
        </w:rPr>
        <w:t>Επ. Καθ. Α. Δαγούμα</w:t>
      </w:r>
    </w:p>
    <w:p w14:paraId="49B60C6C" w14:textId="409363E0" w:rsidR="00804C35" w:rsidRDefault="00804C35" w:rsidP="00D80ECC">
      <w:pPr>
        <w:tabs>
          <w:tab w:val="center" w:pos="4395"/>
          <w:tab w:val="right" w:pos="8505"/>
        </w:tabs>
        <w:spacing w:after="0" w:line="240" w:lineRule="auto"/>
        <w:ind w:left="567" w:hanging="567"/>
        <w:rPr>
          <w:rFonts w:eastAsia="Times New Roman" w:cs="Arial"/>
          <w:b/>
          <w:color w:val="000000"/>
          <w:sz w:val="20"/>
          <w:szCs w:val="20"/>
          <w:lang w:eastAsia="el-GR"/>
        </w:rPr>
      </w:pPr>
    </w:p>
    <w:p w14:paraId="3F338EB2" w14:textId="32E386B0" w:rsidR="005323C3" w:rsidRPr="001F2E62" w:rsidRDefault="005323C3" w:rsidP="005323C3">
      <w:pPr>
        <w:tabs>
          <w:tab w:val="center" w:pos="4395"/>
          <w:tab w:val="right" w:pos="8505"/>
        </w:tabs>
        <w:spacing w:after="0" w:line="240" w:lineRule="auto"/>
        <w:jc w:val="both"/>
        <w:rPr>
          <w:rFonts w:asciiTheme="minorHAnsi" w:eastAsia="Times New Roman" w:hAnsiTheme="minorHAnsi" w:cs="Arial"/>
          <w:color w:val="000000"/>
          <w:sz w:val="20"/>
          <w:szCs w:val="20"/>
          <w:u w:val="single"/>
          <w:lang w:eastAsia="el-GR"/>
        </w:rPr>
      </w:pPr>
      <w:r>
        <w:rPr>
          <w:rFonts w:asciiTheme="minorHAnsi" w:eastAsia="Times New Roman" w:hAnsiTheme="minorHAnsi" w:cs="Arial"/>
          <w:color w:val="000000"/>
          <w:sz w:val="20"/>
          <w:szCs w:val="20"/>
          <w:u w:val="single"/>
          <w:lang w:eastAsia="el-GR"/>
        </w:rPr>
        <w:t>Κοινοποίηση</w:t>
      </w:r>
      <w:r w:rsidRPr="001F2E62">
        <w:rPr>
          <w:rFonts w:asciiTheme="minorHAnsi" w:eastAsia="Times New Roman" w:hAnsiTheme="minorHAnsi" w:cs="Arial"/>
          <w:color w:val="000000"/>
          <w:sz w:val="20"/>
          <w:szCs w:val="20"/>
          <w:u w:val="single"/>
          <w:lang w:eastAsia="el-GR"/>
        </w:rPr>
        <w:t xml:space="preserve">: </w:t>
      </w:r>
    </w:p>
    <w:p w14:paraId="37F62366" w14:textId="77777777" w:rsidR="005323C3" w:rsidRPr="001F2E62" w:rsidRDefault="005323C3" w:rsidP="005323C3">
      <w:pPr>
        <w:tabs>
          <w:tab w:val="center" w:pos="4395"/>
          <w:tab w:val="right" w:pos="8505"/>
        </w:tabs>
        <w:spacing w:after="0" w:line="240" w:lineRule="auto"/>
        <w:jc w:val="both"/>
        <w:rPr>
          <w:rFonts w:eastAsia="Times New Roman" w:cs="Arial"/>
          <w:b/>
          <w:color w:val="000000"/>
          <w:sz w:val="20"/>
          <w:szCs w:val="20"/>
          <w:lang w:eastAsia="el-GR"/>
        </w:rPr>
      </w:pPr>
      <w:r w:rsidRPr="001F2E62">
        <w:rPr>
          <w:rFonts w:eastAsia="Times New Roman" w:cs="Arial"/>
          <w:b/>
          <w:color w:val="000000"/>
          <w:sz w:val="20"/>
          <w:szCs w:val="20"/>
          <w:lang w:eastAsia="el-GR"/>
        </w:rPr>
        <w:t>Υπουργείο Περιβάλλοντος και Ενέργειας</w:t>
      </w:r>
    </w:p>
    <w:p w14:paraId="78B8C6A2" w14:textId="77777777" w:rsidR="005323C3" w:rsidRPr="001F2E62" w:rsidRDefault="005323C3" w:rsidP="005323C3">
      <w:pPr>
        <w:tabs>
          <w:tab w:val="center" w:pos="4395"/>
          <w:tab w:val="right" w:pos="8505"/>
        </w:tabs>
        <w:spacing w:after="0" w:line="240" w:lineRule="auto"/>
        <w:ind w:right="222"/>
        <w:jc w:val="both"/>
        <w:rPr>
          <w:rFonts w:cs="Arial"/>
          <w:color w:val="000000"/>
          <w:sz w:val="20"/>
          <w:szCs w:val="20"/>
        </w:rPr>
      </w:pPr>
      <w:r w:rsidRPr="001F2E62">
        <w:rPr>
          <w:rFonts w:cs="Arial"/>
          <w:color w:val="000000"/>
          <w:sz w:val="20"/>
          <w:szCs w:val="20"/>
        </w:rPr>
        <w:t>Μεσογείων 119, 101 92 Αθήνα</w:t>
      </w:r>
    </w:p>
    <w:p w14:paraId="63A93919" w14:textId="77777777" w:rsidR="005323C3" w:rsidRDefault="005323C3" w:rsidP="005323C3">
      <w:pPr>
        <w:tabs>
          <w:tab w:val="left" w:pos="709"/>
          <w:tab w:val="center" w:pos="4395"/>
          <w:tab w:val="right" w:pos="8505"/>
        </w:tabs>
        <w:spacing w:after="0" w:line="240" w:lineRule="auto"/>
        <w:jc w:val="both"/>
        <w:rPr>
          <w:rFonts w:eastAsia="Times New Roman" w:cs="Arial"/>
          <w:color w:val="000000"/>
          <w:sz w:val="20"/>
          <w:szCs w:val="20"/>
          <w:lang w:eastAsia="el-GR"/>
        </w:rPr>
      </w:pPr>
      <w:r w:rsidRPr="001F2E62">
        <w:rPr>
          <w:rFonts w:eastAsia="Times New Roman" w:cs="Arial"/>
          <w:color w:val="000000"/>
          <w:sz w:val="20"/>
          <w:szCs w:val="20"/>
          <w:lang w:eastAsia="el-GR"/>
        </w:rPr>
        <w:t xml:space="preserve">Υπ’ όψη </w:t>
      </w:r>
      <w:r>
        <w:rPr>
          <w:rFonts w:eastAsia="Times New Roman" w:cs="Arial"/>
          <w:color w:val="000000"/>
          <w:sz w:val="20"/>
          <w:szCs w:val="20"/>
          <w:lang w:eastAsia="el-GR"/>
        </w:rPr>
        <w:tab/>
      </w:r>
      <w:r w:rsidRPr="001F2E62">
        <w:rPr>
          <w:rFonts w:eastAsia="Times New Roman" w:cs="Arial"/>
          <w:color w:val="000000"/>
          <w:sz w:val="20"/>
          <w:szCs w:val="20"/>
          <w:lang w:eastAsia="el-GR"/>
        </w:rPr>
        <w:t xml:space="preserve">: Υπουργού κου </w:t>
      </w:r>
      <w:r>
        <w:rPr>
          <w:rFonts w:eastAsia="Times New Roman" w:cs="Arial"/>
          <w:color w:val="000000"/>
          <w:sz w:val="20"/>
          <w:szCs w:val="20"/>
          <w:lang w:eastAsia="el-GR"/>
        </w:rPr>
        <w:t>Κωστή Χατζηδάκη</w:t>
      </w:r>
    </w:p>
    <w:p w14:paraId="6E0064D9" w14:textId="77777777" w:rsidR="005323C3" w:rsidRDefault="005323C3" w:rsidP="005323C3">
      <w:pPr>
        <w:tabs>
          <w:tab w:val="left" w:pos="709"/>
        </w:tabs>
        <w:spacing w:after="0" w:line="240" w:lineRule="auto"/>
        <w:ind w:left="567" w:hanging="567"/>
        <w:jc w:val="both"/>
        <w:rPr>
          <w:rFonts w:asciiTheme="minorHAnsi" w:hAnsiTheme="minorHAnsi"/>
          <w:bCs/>
          <w:sz w:val="20"/>
          <w:szCs w:val="20"/>
        </w:rPr>
      </w:pPr>
      <w:r>
        <w:rPr>
          <w:rFonts w:eastAsia="Times New Roman" w:cs="Arial"/>
          <w:color w:val="000000"/>
          <w:sz w:val="20"/>
          <w:szCs w:val="20"/>
          <w:lang w:eastAsia="el-GR"/>
        </w:rPr>
        <w:t xml:space="preserve">                </w:t>
      </w:r>
      <w:r>
        <w:rPr>
          <w:rFonts w:asciiTheme="minorHAnsi" w:hAnsiTheme="minorHAnsi"/>
          <w:bCs/>
          <w:sz w:val="20"/>
          <w:szCs w:val="20"/>
        </w:rPr>
        <w:t>: Γεν. Γραμμ. κας Αλεξάνδρας Σδούκου</w:t>
      </w:r>
    </w:p>
    <w:p w14:paraId="716B5F4A" w14:textId="7BC44E0C" w:rsidR="005323C3" w:rsidRDefault="005323C3" w:rsidP="00D80ECC">
      <w:pPr>
        <w:tabs>
          <w:tab w:val="center" w:pos="4395"/>
          <w:tab w:val="right" w:pos="8505"/>
        </w:tabs>
        <w:spacing w:after="0" w:line="240" w:lineRule="auto"/>
        <w:ind w:left="567" w:hanging="567"/>
        <w:rPr>
          <w:rFonts w:eastAsia="Times New Roman" w:cs="Arial"/>
          <w:b/>
          <w:color w:val="000000"/>
          <w:sz w:val="20"/>
          <w:szCs w:val="20"/>
          <w:lang w:eastAsia="el-GR"/>
        </w:rPr>
      </w:pPr>
    </w:p>
    <w:p w14:paraId="0273A599" w14:textId="77777777" w:rsidR="008616D8" w:rsidRPr="003C678B" w:rsidRDefault="008616D8" w:rsidP="008616D8">
      <w:pPr>
        <w:tabs>
          <w:tab w:val="center" w:pos="4395"/>
          <w:tab w:val="right" w:pos="8505"/>
        </w:tabs>
        <w:spacing w:after="0" w:line="240" w:lineRule="auto"/>
        <w:jc w:val="both"/>
        <w:rPr>
          <w:rFonts w:eastAsia="Times New Roman" w:cs="Arial"/>
          <w:b/>
          <w:sz w:val="20"/>
          <w:szCs w:val="20"/>
          <w:lang w:eastAsia="el-GR"/>
        </w:rPr>
      </w:pPr>
      <w:r w:rsidRPr="003C678B">
        <w:rPr>
          <w:rFonts w:eastAsia="Times New Roman" w:cs="Arial"/>
          <w:b/>
          <w:sz w:val="20"/>
          <w:szCs w:val="20"/>
          <w:lang w:eastAsia="el-GR"/>
        </w:rPr>
        <w:t xml:space="preserve">ΔΑΠΕΕΠ ΑΕ </w:t>
      </w:r>
    </w:p>
    <w:p w14:paraId="29A48CAA" w14:textId="77777777" w:rsidR="008616D8" w:rsidRPr="003C678B" w:rsidRDefault="008616D8" w:rsidP="008616D8">
      <w:pPr>
        <w:tabs>
          <w:tab w:val="center" w:pos="4395"/>
          <w:tab w:val="right" w:pos="8505"/>
        </w:tabs>
        <w:spacing w:after="0" w:line="240" w:lineRule="auto"/>
        <w:jc w:val="both"/>
        <w:rPr>
          <w:rFonts w:eastAsia="Times New Roman" w:cs="Arial"/>
          <w:bCs/>
          <w:sz w:val="20"/>
          <w:szCs w:val="20"/>
          <w:lang w:eastAsia="el-GR"/>
        </w:rPr>
      </w:pPr>
      <w:r w:rsidRPr="003C678B">
        <w:rPr>
          <w:rFonts w:eastAsia="Times New Roman" w:cs="Arial"/>
          <w:bCs/>
          <w:sz w:val="20"/>
          <w:szCs w:val="20"/>
          <w:lang w:eastAsia="el-GR"/>
        </w:rPr>
        <w:t xml:space="preserve">Κάστορος 72, 185 45 Πειραιάς </w:t>
      </w:r>
    </w:p>
    <w:p w14:paraId="28B52470" w14:textId="77777777" w:rsidR="008616D8" w:rsidRPr="003C678B" w:rsidRDefault="008616D8" w:rsidP="008616D8">
      <w:pPr>
        <w:tabs>
          <w:tab w:val="center" w:pos="4395"/>
          <w:tab w:val="right" w:pos="8505"/>
        </w:tabs>
        <w:spacing w:after="0" w:line="240" w:lineRule="auto"/>
        <w:jc w:val="both"/>
        <w:rPr>
          <w:rFonts w:eastAsia="Times New Roman" w:cs="Arial"/>
          <w:bCs/>
          <w:sz w:val="20"/>
          <w:szCs w:val="20"/>
          <w:lang w:eastAsia="el-GR"/>
        </w:rPr>
      </w:pPr>
      <w:r w:rsidRPr="003C678B">
        <w:rPr>
          <w:rFonts w:eastAsia="Times New Roman" w:cs="Arial"/>
          <w:bCs/>
          <w:sz w:val="20"/>
          <w:szCs w:val="20"/>
          <w:lang w:eastAsia="el-GR"/>
        </w:rPr>
        <w:t xml:space="preserve">Υπ’ όψη : Προέδρου και Διευθ. Συμβούλου κου Ι. Γιαρέντη </w:t>
      </w:r>
    </w:p>
    <w:p w14:paraId="34F32C4E" w14:textId="6907FFCF" w:rsidR="008616D8" w:rsidRDefault="008616D8" w:rsidP="00D80ECC">
      <w:pPr>
        <w:tabs>
          <w:tab w:val="center" w:pos="4395"/>
          <w:tab w:val="right" w:pos="8505"/>
        </w:tabs>
        <w:spacing w:after="0" w:line="240" w:lineRule="auto"/>
        <w:ind w:left="567" w:hanging="567"/>
        <w:rPr>
          <w:rFonts w:eastAsia="Times New Roman" w:cs="Arial"/>
          <w:b/>
          <w:color w:val="000000"/>
          <w:sz w:val="20"/>
          <w:szCs w:val="20"/>
          <w:lang w:eastAsia="el-GR"/>
        </w:rPr>
      </w:pPr>
    </w:p>
    <w:p w14:paraId="4637D042" w14:textId="77777777" w:rsidR="008616D8" w:rsidRPr="00EF7D25" w:rsidRDefault="008616D8" w:rsidP="008616D8">
      <w:pPr>
        <w:tabs>
          <w:tab w:val="center" w:pos="4395"/>
          <w:tab w:val="right" w:pos="8505"/>
        </w:tabs>
        <w:spacing w:after="0" w:line="240" w:lineRule="auto"/>
        <w:rPr>
          <w:rFonts w:asciiTheme="minorHAnsi" w:eastAsia="Times New Roman" w:hAnsiTheme="minorHAnsi" w:cs="Arial"/>
          <w:b/>
          <w:color w:val="000000"/>
          <w:sz w:val="20"/>
          <w:szCs w:val="20"/>
          <w:lang w:eastAsia="el-GR"/>
        </w:rPr>
      </w:pPr>
      <w:r>
        <w:rPr>
          <w:rFonts w:asciiTheme="minorHAnsi" w:eastAsia="Times New Roman" w:hAnsiTheme="minorHAnsi" w:cs="Arial"/>
          <w:b/>
          <w:color w:val="000000"/>
          <w:sz w:val="20"/>
          <w:szCs w:val="20"/>
          <w:lang w:eastAsia="el-GR"/>
        </w:rPr>
        <w:t>ΕΧΕ</w:t>
      </w:r>
      <w:r w:rsidRPr="00EF7D25">
        <w:rPr>
          <w:rFonts w:asciiTheme="minorHAnsi" w:eastAsia="Times New Roman" w:hAnsiTheme="minorHAnsi" w:cs="Arial"/>
          <w:b/>
          <w:color w:val="000000"/>
          <w:sz w:val="20"/>
          <w:szCs w:val="20"/>
          <w:lang w:eastAsia="el-GR"/>
        </w:rPr>
        <w:t xml:space="preserve"> ΑΕ</w:t>
      </w:r>
    </w:p>
    <w:p w14:paraId="663D5EAC" w14:textId="694537F2" w:rsidR="008616D8" w:rsidRPr="008616D8" w:rsidRDefault="008616D8" w:rsidP="008616D8">
      <w:pPr>
        <w:tabs>
          <w:tab w:val="center" w:pos="4395"/>
          <w:tab w:val="right" w:pos="8505"/>
        </w:tabs>
        <w:spacing w:after="0" w:line="240" w:lineRule="auto"/>
        <w:ind w:right="222"/>
        <w:rPr>
          <w:rFonts w:asciiTheme="minorHAnsi" w:hAnsiTheme="minorHAnsi" w:cs="Arial"/>
          <w:color w:val="000000"/>
          <w:sz w:val="20"/>
          <w:szCs w:val="20"/>
        </w:rPr>
      </w:pPr>
      <w:r>
        <w:rPr>
          <w:rFonts w:asciiTheme="minorHAnsi" w:hAnsiTheme="minorHAnsi" w:cs="Arial"/>
          <w:color w:val="000000"/>
          <w:sz w:val="20"/>
          <w:szCs w:val="20"/>
        </w:rPr>
        <w:t>Λ. Αθηνών 110, 104 42 Αθήνα</w:t>
      </w:r>
    </w:p>
    <w:p w14:paraId="5B65DF7F" w14:textId="5C3CC04A" w:rsidR="008616D8" w:rsidRPr="00EF7D25" w:rsidRDefault="008616D8" w:rsidP="008616D8">
      <w:pPr>
        <w:tabs>
          <w:tab w:val="center" w:pos="4395"/>
          <w:tab w:val="right" w:pos="8505"/>
        </w:tabs>
        <w:spacing w:after="0" w:line="240" w:lineRule="auto"/>
        <w:rPr>
          <w:rFonts w:asciiTheme="minorHAnsi" w:eastAsia="Times New Roman" w:hAnsiTheme="minorHAnsi" w:cs="Arial"/>
          <w:color w:val="000000"/>
          <w:sz w:val="20"/>
          <w:szCs w:val="20"/>
          <w:lang w:eastAsia="el-GR"/>
        </w:rPr>
      </w:pPr>
      <w:r w:rsidRPr="00EF7D25">
        <w:rPr>
          <w:rFonts w:asciiTheme="minorHAnsi" w:eastAsia="Times New Roman" w:hAnsiTheme="minorHAnsi" w:cs="Arial"/>
          <w:color w:val="000000"/>
          <w:sz w:val="20"/>
          <w:szCs w:val="20"/>
          <w:lang w:eastAsia="el-GR"/>
        </w:rPr>
        <w:t xml:space="preserve">Υπ’ όψη : </w:t>
      </w:r>
      <w:r>
        <w:rPr>
          <w:rFonts w:asciiTheme="minorHAnsi" w:eastAsia="Times New Roman" w:hAnsiTheme="minorHAnsi" w:cs="Arial"/>
          <w:color w:val="000000"/>
          <w:sz w:val="20"/>
          <w:szCs w:val="20"/>
          <w:lang w:eastAsia="el-GR"/>
        </w:rPr>
        <w:t>Διευθ. Συμβούλου</w:t>
      </w:r>
      <w:r w:rsidRPr="00EF7D25">
        <w:rPr>
          <w:rFonts w:asciiTheme="minorHAnsi" w:eastAsia="Times New Roman" w:hAnsiTheme="minorHAnsi" w:cs="Arial"/>
          <w:color w:val="000000"/>
          <w:sz w:val="20"/>
          <w:szCs w:val="20"/>
          <w:lang w:eastAsia="el-GR"/>
        </w:rPr>
        <w:t xml:space="preserve"> </w:t>
      </w:r>
      <w:r w:rsidR="00F11FB0">
        <w:rPr>
          <w:rFonts w:asciiTheme="minorHAnsi" w:eastAsia="Times New Roman" w:hAnsiTheme="minorHAnsi" w:cs="Arial"/>
          <w:color w:val="000000"/>
          <w:sz w:val="20"/>
          <w:szCs w:val="20"/>
          <w:lang w:eastAsia="el-GR"/>
        </w:rPr>
        <w:t>Καθ.</w:t>
      </w:r>
      <w:r w:rsidRPr="00EF7D25">
        <w:rPr>
          <w:rFonts w:asciiTheme="minorHAnsi" w:eastAsia="Times New Roman" w:hAnsiTheme="minorHAnsi" w:cs="Arial"/>
          <w:color w:val="000000"/>
          <w:sz w:val="20"/>
          <w:szCs w:val="20"/>
          <w:lang w:eastAsia="el-GR"/>
        </w:rPr>
        <w:t xml:space="preserve"> </w:t>
      </w:r>
      <w:r>
        <w:rPr>
          <w:rFonts w:asciiTheme="minorHAnsi" w:eastAsia="Times New Roman" w:hAnsiTheme="minorHAnsi" w:cs="Arial"/>
          <w:color w:val="000000"/>
          <w:sz w:val="20"/>
          <w:szCs w:val="20"/>
          <w:lang w:eastAsia="el-GR"/>
        </w:rPr>
        <w:t>Γ. Ιωάννου</w:t>
      </w:r>
      <w:r w:rsidRPr="00EF7D25">
        <w:rPr>
          <w:rFonts w:asciiTheme="minorHAnsi" w:eastAsia="Times New Roman" w:hAnsiTheme="minorHAnsi" w:cs="Arial"/>
          <w:color w:val="000000"/>
          <w:sz w:val="20"/>
          <w:szCs w:val="20"/>
          <w:lang w:eastAsia="el-GR"/>
        </w:rPr>
        <w:t xml:space="preserve"> </w:t>
      </w:r>
    </w:p>
    <w:p w14:paraId="6E3C045E" w14:textId="77777777" w:rsidR="008616D8" w:rsidRDefault="008616D8" w:rsidP="008616D8">
      <w:pPr>
        <w:tabs>
          <w:tab w:val="center" w:pos="4395"/>
          <w:tab w:val="right" w:pos="8505"/>
        </w:tabs>
        <w:spacing w:after="0" w:line="240" w:lineRule="auto"/>
        <w:rPr>
          <w:rFonts w:eastAsia="Times New Roman" w:cs="Arial"/>
          <w:b/>
          <w:color w:val="000000"/>
          <w:sz w:val="20"/>
          <w:szCs w:val="20"/>
          <w:lang w:eastAsia="el-GR"/>
        </w:rPr>
      </w:pPr>
    </w:p>
    <w:p w14:paraId="0F80864F" w14:textId="77777777" w:rsidR="008616D8" w:rsidRPr="00EF7D25" w:rsidRDefault="008616D8" w:rsidP="008616D8">
      <w:pPr>
        <w:tabs>
          <w:tab w:val="center" w:pos="4395"/>
          <w:tab w:val="right" w:pos="8505"/>
        </w:tabs>
        <w:spacing w:after="0" w:line="240" w:lineRule="auto"/>
        <w:rPr>
          <w:rFonts w:eastAsia="Times New Roman" w:cs="Arial"/>
          <w:b/>
          <w:color w:val="000000"/>
          <w:sz w:val="20"/>
          <w:szCs w:val="20"/>
          <w:lang w:eastAsia="el-GR"/>
        </w:rPr>
      </w:pPr>
      <w:r w:rsidRPr="00EF7D25">
        <w:rPr>
          <w:rFonts w:eastAsia="Times New Roman" w:cs="Arial"/>
          <w:b/>
          <w:color w:val="000000"/>
          <w:sz w:val="20"/>
          <w:szCs w:val="20"/>
          <w:lang w:eastAsia="el-GR"/>
        </w:rPr>
        <w:t>ΑΔΜΗΕ ΑΕ</w:t>
      </w:r>
    </w:p>
    <w:p w14:paraId="50AD376D" w14:textId="77777777" w:rsidR="008616D8" w:rsidRPr="00EF7D25" w:rsidRDefault="008616D8" w:rsidP="008616D8">
      <w:pPr>
        <w:tabs>
          <w:tab w:val="center" w:pos="4395"/>
          <w:tab w:val="right" w:pos="8505"/>
        </w:tabs>
        <w:spacing w:after="0" w:line="240" w:lineRule="auto"/>
        <w:rPr>
          <w:rFonts w:eastAsia="Times New Roman" w:cs="Arial"/>
          <w:color w:val="000000"/>
          <w:sz w:val="20"/>
          <w:szCs w:val="20"/>
          <w:lang w:eastAsia="el-GR"/>
        </w:rPr>
      </w:pPr>
      <w:r w:rsidRPr="00EF7D25">
        <w:rPr>
          <w:rFonts w:eastAsia="Times New Roman" w:cs="Arial"/>
          <w:color w:val="000000"/>
          <w:sz w:val="20"/>
          <w:szCs w:val="20"/>
          <w:lang w:eastAsia="el-GR"/>
        </w:rPr>
        <w:t>Δυρραχίου 89 &amp; Κηφισού, 104 43 Αθήνα</w:t>
      </w:r>
    </w:p>
    <w:p w14:paraId="20342951" w14:textId="77777777" w:rsidR="008616D8" w:rsidRPr="00EF7D25" w:rsidRDefault="008616D8" w:rsidP="008616D8">
      <w:pPr>
        <w:tabs>
          <w:tab w:val="center" w:pos="4395"/>
          <w:tab w:val="right" w:pos="8505"/>
        </w:tabs>
        <w:spacing w:after="0" w:line="240" w:lineRule="auto"/>
        <w:rPr>
          <w:rFonts w:eastAsia="Times New Roman" w:cs="Arial"/>
          <w:color w:val="000000"/>
          <w:sz w:val="20"/>
          <w:szCs w:val="20"/>
          <w:lang w:eastAsia="el-GR"/>
        </w:rPr>
      </w:pPr>
      <w:r w:rsidRPr="00EF7D25">
        <w:rPr>
          <w:rFonts w:eastAsia="Times New Roman" w:cs="Arial"/>
          <w:color w:val="000000"/>
          <w:sz w:val="20"/>
          <w:szCs w:val="20"/>
          <w:lang w:eastAsia="el-GR"/>
        </w:rPr>
        <w:t xml:space="preserve">Υπ’ όψη : Προέδρου κου </w:t>
      </w:r>
      <w:r>
        <w:rPr>
          <w:rFonts w:eastAsia="Times New Roman" w:cs="Arial"/>
          <w:color w:val="000000"/>
          <w:sz w:val="20"/>
          <w:szCs w:val="20"/>
          <w:lang w:eastAsia="el-GR"/>
        </w:rPr>
        <w:t>Μ</w:t>
      </w:r>
      <w:r w:rsidRPr="00EF7D25">
        <w:rPr>
          <w:rFonts w:eastAsia="Times New Roman" w:cs="Arial"/>
          <w:color w:val="000000"/>
          <w:sz w:val="20"/>
          <w:szCs w:val="20"/>
          <w:lang w:eastAsia="el-GR"/>
        </w:rPr>
        <w:t xml:space="preserve">. </w:t>
      </w:r>
      <w:r>
        <w:rPr>
          <w:rFonts w:eastAsia="Times New Roman" w:cs="Arial"/>
          <w:color w:val="000000"/>
          <w:sz w:val="20"/>
          <w:szCs w:val="20"/>
          <w:lang w:eastAsia="el-GR"/>
        </w:rPr>
        <w:t>Μανουσάκη</w:t>
      </w:r>
    </w:p>
    <w:p w14:paraId="72ED8DE0" w14:textId="1E68B6E0" w:rsidR="008616D8" w:rsidRDefault="008616D8" w:rsidP="00D80ECC">
      <w:pPr>
        <w:tabs>
          <w:tab w:val="center" w:pos="4395"/>
          <w:tab w:val="right" w:pos="8505"/>
        </w:tabs>
        <w:spacing w:after="0" w:line="240" w:lineRule="auto"/>
        <w:ind w:left="567" w:hanging="567"/>
        <w:rPr>
          <w:rFonts w:eastAsia="Times New Roman" w:cs="Arial"/>
          <w:b/>
          <w:color w:val="000000"/>
          <w:sz w:val="20"/>
          <w:szCs w:val="20"/>
          <w:lang w:eastAsia="el-GR"/>
        </w:rPr>
      </w:pPr>
    </w:p>
    <w:p w14:paraId="7D86E98A" w14:textId="6488DB56" w:rsidR="00AB4539" w:rsidRPr="00A83906" w:rsidRDefault="00AB4539" w:rsidP="00294A0F">
      <w:pPr>
        <w:tabs>
          <w:tab w:val="center" w:pos="4395"/>
          <w:tab w:val="right" w:pos="8505"/>
        </w:tabs>
        <w:spacing w:after="0" w:line="240" w:lineRule="auto"/>
        <w:ind w:left="567" w:hanging="567"/>
        <w:jc w:val="both"/>
        <w:rPr>
          <w:rFonts w:eastAsia="Times New Roman" w:cs="Arial"/>
          <w:color w:val="000000"/>
          <w:sz w:val="20"/>
          <w:szCs w:val="20"/>
          <w:lang w:eastAsia="el-GR"/>
        </w:rPr>
      </w:pPr>
      <w:r w:rsidRPr="00A83906">
        <w:rPr>
          <w:rFonts w:eastAsia="Times New Roman" w:cs="Arial"/>
          <w:b/>
          <w:color w:val="000000"/>
          <w:sz w:val="20"/>
          <w:szCs w:val="20"/>
          <w:lang w:eastAsia="el-GR"/>
        </w:rPr>
        <w:t>Θέμα :</w:t>
      </w:r>
      <w:r w:rsidR="003D1790" w:rsidRPr="00A83906">
        <w:rPr>
          <w:rFonts w:eastAsia="Times New Roman" w:cs="Arial"/>
          <w:color w:val="000000"/>
          <w:sz w:val="20"/>
          <w:szCs w:val="20"/>
          <w:lang w:eastAsia="el-GR"/>
        </w:rPr>
        <w:t xml:space="preserve"> </w:t>
      </w:r>
      <w:r w:rsidR="001525A2">
        <w:rPr>
          <w:rFonts w:eastAsia="Times New Roman" w:cs="Arial"/>
          <w:color w:val="000000"/>
          <w:sz w:val="20"/>
          <w:szCs w:val="20"/>
          <w:lang w:eastAsia="el-GR"/>
        </w:rPr>
        <w:t>Απόψεις</w:t>
      </w:r>
      <w:r w:rsidR="00F2577C">
        <w:rPr>
          <w:rFonts w:eastAsia="Times New Roman" w:cs="Arial"/>
          <w:color w:val="000000"/>
          <w:sz w:val="20"/>
          <w:szCs w:val="20"/>
          <w:lang w:eastAsia="el-GR"/>
        </w:rPr>
        <w:t xml:space="preserve"> </w:t>
      </w:r>
      <w:r w:rsidR="00A25FE3">
        <w:rPr>
          <w:rFonts w:eastAsia="Times New Roman" w:cs="Arial"/>
          <w:color w:val="000000"/>
          <w:sz w:val="20"/>
          <w:szCs w:val="20"/>
          <w:lang w:eastAsia="el-GR"/>
        </w:rPr>
        <w:t>ΣΠΕΦ</w:t>
      </w:r>
      <w:r w:rsidR="00F2577C">
        <w:rPr>
          <w:rFonts w:eastAsia="Times New Roman" w:cs="Arial"/>
          <w:color w:val="000000"/>
          <w:sz w:val="20"/>
          <w:szCs w:val="20"/>
          <w:lang w:eastAsia="el-GR"/>
        </w:rPr>
        <w:t xml:space="preserve"> </w:t>
      </w:r>
      <w:r w:rsidR="00A25FE3">
        <w:rPr>
          <w:rFonts w:eastAsia="Times New Roman" w:cs="Arial"/>
          <w:color w:val="000000"/>
          <w:sz w:val="20"/>
          <w:szCs w:val="20"/>
          <w:lang w:eastAsia="el-GR"/>
        </w:rPr>
        <w:t xml:space="preserve">στην δημόσια διαβούλευση ΡΑΕ αναφορικά με την τροποποίηση </w:t>
      </w:r>
      <w:r w:rsidR="008616D8">
        <w:rPr>
          <w:rFonts w:eastAsia="Times New Roman" w:cs="Arial"/>
          <w:color w:val="000000"/>
          <w:sz w:val="20"/>
          <w:szCs w:val="20"/>
          <w:lang w:eastAsia="el-GR"/>
        </w:rPr>
        <w:t xml:space="preserve">των ορίων στην υποβολή προσφορών για ανοδική και καθοδική Ενέργεια και Ισχύ Εξισορρόπησης </w:t>
      </w:r>
      <w:r w:rsidR="00F25943">
        <w:rPr>
          <w:rFonts w:eastAsia="Times New Roman" w:cs="Arial"/>
          <w:color w:val="000000"/>
          <w:sz w:val="20"/>
          <w:szCs w:val="20"/>
          <w:lang w:eastAsia="el-GR"/>
        </w:rPr>
        <w:t xml:space="preserve">και λοιπές προτάσεις μας για άρση στρεβλώσεων σε βάρος των ΑΠΕ. </w:t>
      </w:r>
      <w:r w:rsidR="008616D8">
        <w:rPr>
          <w:rFonts w:eastAsia="Times New Roman" w:cs="Arial"/>
          <w:color w:val="000000"/>
          <w:sz w:val="20"/>
          <w:szCs w:val="20"/>
          <w:lang w:eastAsia="el-GR"/>
        </w:rPr>
        <w:t xml:space="preserve">  </w:t>
      </w:r>
    </w:p>
    <w:p w14:paraId="3BBA439A" w14:textId="77777777" w:rsidR="00D80ECC" w:rsidRPr="00A83906" w:rsidRDefault="00D80ECC" w:rsidP="00D80ECC">
      <w:pPr>
        <w:tabs>
          <w:tab w:val="center" w:pos="4395"/>
          <w:tab w:val="right" w:pos="8505"/>
        </w:tabs>
        <w:spacing w:after="0" w:line="240" w:lineRule="auto"/>
        <w:ind w:left="567" w:hanging="567"/>
        <w:rPr>
          <w:rFonts w:eastAsia="Times New Roman" w:cs="Arial"/>
          <w:color w:val="000000"/>
          <w:sz w:val="20"/>
          <w:szCs w:val="20"/>
          <w:lang w:eastAsia="el-GR"/>
        </w:rPr>
      </w:pPr>
    </w:p>
    <w:p w14:paraId="0BA92878" w14:textId="77777777" w:rsidR="00A25FE3" w:rsidRDefault="00A25FE3" w:rsidP="00A83906">
      <w:pPr>
        <w:shd w:val="clear" w:color="auto" w:fill="FFFFFF"/>
        <w:spacing w:after="0" w:line="240" w:lineRule="auto"/>
        <w:rPr>
          <w:rFonts w:eastAsia="Times New Roman" w:cstheme="minorHAnsi"/>
          <w:color w:val="222222"/>
          <w:sz w:val="20"/>
          <w:szCs w:val="20"/>
          <w:lang w:eastAsia="el-GR"/>
        </w:rPr>
      </w:pPr>
    </w:p>
    <w:p w14:paraId="01EA4AB4" w14:textId="457F7325" w:rsidR="00A83906" w:rsidRDefault="00A83906" w:rsidP="00A83906">
      <w:pPr>
        <w:shd w:val="clear" w:color="auto" w:fill="FFFFFF"/>
        <w:spacing w:after="0" w:line="240" w:lineRule="auto"/>
        <w:rPr>
          <w:rFonts w:eastAsia="Times New Roman" w:cstheme="minorHAnsi"/>
          <w:color w:val="222222"/>
          <w:sz w:val="20"/>
          <w:szCs w:val="20"/>
          <w:lang w:eastAsia="el-GR"/>
        </w:rPr>
      </w:pPr>
      <w:r>
        <w:rPr>
          <w:rFonts w:eastAsia="Times New Roman" w:cstheme="minorHAnsi"/>
          <w:color w:val="222222"/>
          <w:sz w:val="20"/>
          <w:szCs w:val="20"/>
          <w:lang w:eastAsia="el-GR"/>
        </w:rPr>
        <w:t>Αξιότιμε κε Πρόεδρε</w:t>
      </w:r>
    </w:p>
    <w:p w14:paraId="144090F8" w14:textId="77777777" w:rsidR="00A83906" w:rsidRDefault="00A83906" w:rsidP="00A83906">
      <w:pPr>
        <w:shd w:val="clear" w:color="auto" w:fill="FFFFFF"/>
        <w:spacing w:after="0" w:line="240" w:lineRule="auto"/>
        <w:rPr>
          <w:rFonts w:eastAsia="Times New Roman" w:cstheme="minorHAnsi"/>
          <w:color w:val="222222"/>
          <w:sz w:val="20"/>
          <w:szCs w:val="20"/>
          <w:lang w:eastAsia="el-GR"/>
        </w:rPr>
      </w:pPr>
    </w:p>
    <w:p w14:paraId="421F25CD" w14:textId="0401228A" w:rsidR="007B0FC3" w:rsidRDefault="00A25FE3" w:rsidP="00A25FE3">
      <w:pPr>
        <w:shd w:val="clear" w:color="auto" w:fill="FFFFFF"/>
        <w:spacing w:after="0" w:line="240" w:lineRule="auto"/>
        <w:jc w:val="both"/>
        <w:rPr>
          <w:rFonts w:eastAsia="Times New Roman" w:cstheme="minorHAnsi"/>
          <w:color w:val="222222"/>
          <w:sz w:val="20"/>
          <w:szCs w:val="20"/>
          <w:lang w:eastAsia="el-GR"/>
        </w:rPr>
      </w:pPr>
      <w:r w:rsidRPr="00E21CA9">
        <w:rPr>
          <w:rFonts w:eastAsia="Times New Roman" w:cstheme="minorHAnsi"/>
          <w:color w:val="222222"/>
          <w:sz w:val="20"/>
          <w:szCs w:val="20"/>
          <w:lang w:eastAsia="el-GR"/>
        </w:rPr>
        <w:t>Σε συνέχεια</w:t>
      </w:r>
      <w:r w:rsidR="00294A0F">
        <w:rPr>
          <w:rFonts w:eastAsia="Times New Roman" w:cstheme="minorHAnsi"/>
          <w:color w:val="222222"/>
          <w:sz w:val="20"/>
          <w:szCs w:val="20"/>
          <w:lang w:eastAsia="el-GR"/>
        </w:rPr>
        <w:t xml:space="preserve"> </w:t>
      </w:r>
      <w:r w:rsidR="008616D8">
        <w:rPr>
          <w:rFonts w:eastAsia="Times New Roman" w:cstheme="minorHAnsi"/>
          <w:color w:val="222222"/>
          <w:sz w:val="20"/>
          <w:szCs w:val="20"/>
          <w:lang w:eastAsia="el-GR"/>
        </w:rPr>
        <w:t xml:space="preserve">της από 16/12/20 </w:t>
      </w:r>
      <w:hyperlink r:id="rId9" w:history="1">
        <w:r w:rsidR="008616D8" w:rsidRPr="007B0FC3">
          <w:rPr>
            <w:rStyle w:val="Hyperlink"/>
            <w:rFonts w:eastAsia="Times New Roman" w:cstheme="minorHAnsi"/>
            <w:sz w:val="20"/>
            <w:szCs w:val="20"/>
            <w:lang w:eastAsia="el-GR"/>
          </w:rPr>
          <w:t>επιστολής</w:t>
        </w:r>
      </w:hyperlink>
      <w:r w:rsidR="008616D8">
        <w:rPr>
          <w:rFonts w:eastAsia="Times New Roman" w:cstheme="minorHAnsi"/>
          <w:color w:val="222222"/>
          <w:sz w:val="20"/>
          <w:szCs w:val="20"/>
          <w:lang w:eastAsia="el-GR"/>
        </w:rPr>
        <w:t xml:space="preserve"> μας </w:t>
      </w:r>
      <w:r w:rsidR="007B0FC3">
        <w:rPr>
          <w:rFonts w:eastAsia="Times New Roman" w:cstheme="minorHAnsi"/>
          <w:color w:val="222222"/>
          <w:sz w:val="20"/>
          <w:szCs w:val="20"/>
          <w:lang w:eastAsia="el-GR"/>
        </w:rPr>
        <w:t>με την οποία συμμετείχαμε στην δημόσια διαβούλευση της Αρχής σας για την τροποποίηση του Κανονισμού Αγοράς Εξισορρόπησης αναφορικά με τον περιορισμό του συστήματος Πελοποννήσου, είχαμε εισηγηθεί ευρύτερες δραστικές αλλαγές συνολικά στον τρόπο λειτουργίας των Αγορών αυτών, ιδίως ως προς τον τρόπο και το ύψος τιμολόγησης των υπηρεσιών αυτών.</w:t>
      </w:r>
      <w:r w:rsidR="007801B2">
        <w:rPr>
          <w:rFonts w:eastAsia="Times New Roman" w:cstheme="minorHAnsi"/>
          <w:color w:val="222222"/>
          <w:sz w:val="20"/>
          <w:szCs w:val="20"/>
          <w:lang w:eastAsia="el-GR"/>
        </w:rPr>
        <w:t xml:space="preserve">  </w:t>
      </w:r>
      <w:r w:rsidR="006C2D3B">
        <w:rPr>
          <w:rFonts w:eastAsia="Times New Roman" w:cstheme="minorHAnsi"/>
          <w:color w:val="222222"/>
          <w:sz w:val="20"/>
          <w:szCs w:val="20"/>
          <w:lang w:eastAsia="el-GR"/>
        </w:rPr>
        <w:t xml:space="preserve">Με την ευκαιρία λοιπόν της παρούσας νεότερης διαβούλευσης σας, </w:t>
      </w:r>
      <w:r w:rsidR="006C2D3B" w:rsidRPr="00CE620E">
        <w:rPr>
          <w:rFonts w:eastAsia="Times New Roman" w:cstheme="minorHAnsi"/>
          <w:b/>
          <w:bCs/>
          <w:color w:val="222222"/>
          <w:sz w:val="20"/>
          <w:szCs w:val="20"/>
          <w:u w:val="single"/>
          <w:lang w:eastAsia="el-GR"/>
        </w:rPr>
        <w:t>καταθέτουμε τις συνολικές προτάσεις μας</w:t>
      </w:r>
      <w:r w:rsidR="0027522A" w:rsidRPr="00CE620E">
        <w:rPr>
          <w:rFonts w:eastAsia="Times New Roman" w:cstheme="minorHAnsi"/>
          <w:b/>
          <w:bCs/>
          <w:color w:val="222222"/>
          <w:sz w:val="20"/>
          <w:szCs w:val="20"/>
          <w:u w:val="single"/>
          <w:lang w:eastAsia="el-GR"/>
        </w:rPr>
        <w:t xml:space="preserve"> </w:t>
      </w:r>
      <w:r w:rsidR="008F6B78">
        <w:rPr>
          <w:rFonts w:eastAsia="Times New Roman" w:cstheme="minorHAnsi"/>
          <w:b/>
          <w:bCs/>
          <w:color w:val="222222"/>
          <w:sz w:val="20"/>
          <w:szCs w:val="20"/>
          <w:u w:val="single"/>
          <w:lang w:eastAsia="el-GR"/>
        </w:rPr>
        <w:t xml:space="preserve">και με την απαραίτητη τεκμηρίωση </w:t>
      </w:r>
      <w:r w:rsidR="0027522A" w:rsidRPr="00CE620E">
        <w:rPr>
          <w:rFonts w:eastAsia="Times New Roman" w:cstheme="minorHAnsi"/>
          <w:b/>
          <w:bCs/>
          <w:color w:val="222222"/>
          <w:sz w:val="20"/>
          <w:szCs w:val="20"/>
          <w:u w:val="single"/>
          <w:lang w:eastAsia="el-GR"/>
        </w:rPr>
        <w:t xml:space="preserve">σε </w:t>
      </w:r>
      <w:r w:rsidR="00FE444E">
        <w:rPr>
          <w:rFonts w:eastAsia="Times New Roman" w:cstheme="minorHAnsi"/>
          <w:b/>
          <w:bCs/>
          <w:color w:val="222222"/>
          <w:sz w:val="20"/>
          <w:szCs w:val="20"/>
          <w:u w:val="single"/>
          <w:lang w:eastAsia="el-GR"/>
        </w:rPr>
        <w:t>επτά</w:t>
      </w:r>
      <w:r w:rsidR="0027522A" w:rsidRPr="00CE620E">
        <w:rPr>
          <w:rFonts w:eastAsia="Times New Roman" w:cstheme="minorHAnsi"/>
          <w:b/>
          <w:bCs/>
          <w:color w:val="222222"/>
          <w:sz w:val="20"/>
          <w:szCs w:val="20"/>
          <w:u w:val="single"/>
          <w:lang w:eastAsia="el-GR"/>
        </w:rPr>
        <w:t xml:space="preserve"> επιμέρους θεματικές που άπτονται των </w:t>
      </w:r>
      <w:r w:rsidR="006B499D">
        <w:rPr>
          <w:rFonts w:eastAsia="Times New Roman" w:cstheme="minorHAnsi"/>
          <w:b/>
          <w:bCs/>
          <w:color w:val="222222"/>
          <w:sz w:val="20"/>
          <w:szCs w:val="20"/>
          <w:u w:val="single"/>
          <w:lang w:eastAsia="el-GR"/>
        </w:rPr>
        <w:t>Α</w:t>
      </w:r>
      <w:r w:rsidR="0027522A" w:rsidRPr="00CE620E">
        <w:rPr>
          <w:rFonts w:eastAsia="Times New Roman" w:cstheme="minorHAnsi"/>
          <w:b/>
          <w:bCs/>
          <w:color w:val="222222"/>
          <w:sz w:val="20"/>
          <w:szCs w:val="20"/>
          <w:u w:val="single"/>
          <w:lang w:eastAsia="el-GR"/>
        </w:rPr>
        <w:t xml:space="preserve">γορών </w:t>
      </w:r>
      <w:r w:rsidR="006B499D">
        <w:rPr>
          <w:rFonts w:eastAsia="Times New Roman" w:cstheme="minorHAnsi"/>
          <w:b/>
          <w:bCs/>
          <w:color w:val="222222"/>
          <w:sz w:val="20"/>
          <w:szCs w:val="20"/>
          <w:u w:val="single"/>
          <w:lang w:eastAsia="el-GR"/>
        </w:rPr>
        <w:t>Ε</w:t>
      </w:r>
      <w:r w:rsidR="0027522A" w:rsidRPr="00CE620E">
        <w:rPr>
          <w:rFonts w:eastAsia="Times New Roman" w:cstheme="minorHAnsi"/>
          <w:b/>
          <w:bCs/>
          <w:color w:val="222222"/>
          <w:sz w:val="20"/>
          <w:szCs w:val="20"/>
          <w:u w:val="single"/>
          <w:lang w:eastAsia="el-GR"/>
        </w:rPr>
        <w:t>ξισορρόπησης</w:t>
      </w:r>
      <w:r w:rsidR="006C2D3B" w:rsidRPr="00CE620E">
        <w:rPr>
          <w:rFonts w:eastAsia="Times New Roman" w:cstheme="minorHAnsi"/>
          <w:b/>
          <w:bCs/>
          <w:color w:val="222222"/>
          <w:sz w:val="20"/>
          <w:szCs w:val="20"/>
          <w:u w:val="single"/>
          <w:lang w:eastAsia="el-GR"/>
        </w:rPr>
        <w:t>.</w:t>
      </w:r>
      <w:r w:rsidR="006C2D3B">
        <w:rPr>
          <w:rFonts w:eastAsia="Times New Roman" w:cstheme="minorHAnsi"/>
          <w:color w:val="222222"/>
          <w:sz w:val="20"/>
          <w:szCs w:val="20"/>
          <w:lang w:eastAsia="el-GR"/>
        </w:rPr>
        <w:t xml:space="preserve">  </w:t>
      </w:r>
      <w:r w:rsidR="00EA246C">
        <w:rPr>
          <w:rFonts w:eastAsia="Times New Roman" w:cstheme="minorHAnsi"/>
          <w:color w:val="222222"/>
          <w:sz w:val="20"/>
          <w:szCs w:val="20"/>
          <w:lang w:eastAsia="el-GR"/>
        </w:rPr>
        <w:t>Αναλυτικότερα</w:t>
      </w:r>
      <w:r w:rsidR="0027522A">
        <w:rPr>
          <w:rFonts w:eastAsia="Times New Roman" w:cstheme="minorHAnsi"/>
          <w:color w:val="222222"/>
          <w:sz w:val="20"/>
          <w:szCs w:val="20"/>
          <w:lang w:eastAsia="el-GR"/>
        </w:rPr>
        <w:t xml:space="preserve">: </w:t>
      </w:r>
      <w:r w:rsidR="007B0FC3">
        <w:rPr>
          <w:rFonts w:eastAsia="Times New Roman" w:cstheme="minorHAnsi"/>
          <w:color w:val="222222"/>
          <w:sz w:val="20"/>
          <w:szCs w:val="20"/>
          <w:lang w:eastAsia="el-GR"/>
        </w:rPr>
        <w:t xml:space="preserve"> </w:t>
      </w:r>
    </w:p>
    <w:p w14:paraId="7391FA6C" w14:textId="0AC3E1BC" w:rsidR="007B0FC3" w:rsidRDefault="007B0FC3" w:rsidP="00A25FE3">
      <w:pPr>
        <w:shd w:val="clear" w:color="auto" w:fill="FFFFFF"/>
        <w:spacing w:after="0" w:line="240" w:lineRule="auto"/>
        <w:jc w:val="both"/>
        <w:rPr>
          <w:rFonts w:eastAsia="Times New Roman" w:cstheme="minorHAnsi"/>
          <w:color w:val="222222"/>
          <w:sz w:val="20"/>
          <w:szCs w:val="20"/>
          <w:lang w:eastAsia="el-GR"/>
        </w:rPr>
      </w:pPr>
    </w:p>
    <w:p w14:paraId="17B7AD2F" w14:textId="77777777" w:rsidR="007E4161" w:rsidRDefault="007E4161" w:rsidP="00A25FE3">
      <w:pPr>
        <w:shd w:val="clear" w:color="auto" w:fill="FFFFFF"/>
        <w:spacing w:after="0" w:line="240" w:lineRule="auto"/>
        <w:jc w:val="both"/>
        <w:rPr>
          <w:rFonts w:eastAsia="Times New Roman" w:cstheme="minorHAnsi"/>
          <w:color w:val="222222"/>
          <w:sz w:val="20"/>
          <w:szCs w:val="20"/>
          <w:lang w:eastAsia="el-GR"/>
        </w:rPr>
      </w:pPr>
    </w:p>
    <w:p w14:paraId="2AD47001" w14:textId="6D6B6A95" w:rsidR="007E4161" w:rsidRPr="007E4161" w:rsidRDefault="007E4161" w:rsidP="00A25FE3">
      <w:pPr>
        <w:shd w:val="clear" w:color="auto" w:fill="FFFFFF"/>
        <w:spacing w:after="0" w:line="240" w:lineRule="auto"/>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 xml:space="preserve">Α. </w:t>
      </w:r>
      <w:r w:rsidR="00AE4B7E">
        <w:rPr>
          <w:rFonts w:eastAsia="Times New Roman" w:cstheme="minorHAnsi"/>
          <w:b/>
          <w:bCs/>
          <w:color w:val="222222"/>
          <w:sz w:val="20"/>
          <w:szCs w:val="20"/>
          <w:u w:val="single"/>
          <w:lang w:eastAsia="el-GR"/>
        </w:rPr>
        <w:t xml:space="preserve">   </w:t>
      </w:r>
      <w:r w:rsidR="00AB4D67">
        <w:rPr>
          <w:rFonts w:eastAsia="Times New Roman" w:cstheme="minorHAnsi"/>
          <w:b/>
          <w:bCs/>
          <w:color w:val="222222"/>
          <w:sz w:val="20"/>
          <w:szCs w:val="20"/>
          <w:u w:val="single"/>
          <w:lang w:eastAsia="el-GR"/>
        </w:rPr>
        <w:t>Τροποποιήσεις</w:t>
      </w:r>
      <w:r w:rsidR="00D22C17">
        <w:rPr>
          <w:rFonts w:eastAsia="Times New Roman" w:cstheme="minorHAnsi"/>
          <w:b/>
          <w:bCs/>
          <w:color w:val="222222"/>
          <w:sz w:val="20"/>
          <w:szCs w:val="20"/>
          <w:u w:val="single"/>
          <w:lang w:eastAsia="el-GR"/>
        </w:rPr>
        <w:t xml:space="preserve"> ε</w:t>
      </w:r>
      <w:r w:rsidRPr="007E4161">
        <w:rPr>
          <w:rFonts w:eastAsia="Times New Roman" w:cstheme="minorHAnsi"/>
          <w:b/>
          <w:bCs/>
          <w:color w:val="222222"/>
          <w:sz w:val="20"/>
          <w:szCs w:val="20"/>
          <w:u w:val="single"/>
          <w:lang w:eastAsia="el-GR"/>
        </w:rPr>
        <w:t>πί των Αγορών Ενέργειας Εξισορρόπησης</w:t>
      </w:r>
    </w:p>
    <w:p w14:paraId="72CB6FF1" w14:textId="77777777" w:rsidR="007E4161" w:rsidRDefault="007E4161" w:rsidP="00A25FE3">
      <w:pPr>
        <w:shd w:val="clear" w:color="auto" w:fill="FFFFFF"/>
        <w:spacing w:after="0" w:line="240" w:lineRule="auto"/>
        <w:jc w:val="both"/>
        <w:rPr>
          <w:rFonts w:eastAsia="Times New Roman" w:cstheme="minorHAnsi"/>
          <w:color w:val="222222"/>
          <w:sz w:val="20"/>
          <w:szCs w:val="20"/>
          <w:lang w:eastAsia="el-GR"/>
        </w:rPr>
      </w:pPr>
    </w:p>
    <w:p w14:paraId="36D5A890" w14:textId="1F156B0E" w:rsidR="007801B2" w:rsidRDefault="007B0FC3"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sidRPr="007801B2">
        <w:rPr>
          <w:rFonts w:eastAsia="Times New Roman" w:cstheme="minorHAnsi"/>
          <w:color w:val="222222"/>
          <w:sz w:val="20"/>
          <w:szCs w:val="20"/>
          <w:lang w:eastAsia="el-GR"/>
        </w:rPr>
        <w:t xml:space="preserve">Κορμό των εισηγήσεων μας </w:t>
      </w:r>
      <w:r w:rsidR="005E24DA">
        <w:rPr>
          <w:rFonts w:eastAsia="Times New Roman" w:cstheme="minorHAnsi"/>
          <w:color w:val="222222"/>
          <w:sz w:val="20"/>
          <w:szCs w:val="20"/>
          <w:lang w:eastAsia="el-GR"/>
        </w:rPr>
        <w:t>αποτέλεσε</w:t>
      </w:r>
      <w:r w:rsidRPr="007801B2">
        <w:rPr>
          <w:rFonts w:eastAsia="Times New Roman" w:cstheme="minorHAnsi"/>
          <w:color w:val="222222"/>
          <w:sz w:val="20"/>
          <w:szCs w:val="20"/>
          <w:lang w:eastAsia="el-GR"/>
        </w:rPr>
        <w:t xml:space="preserve"> </w:t>
      </w:r>
      <w:r w:rsidR="007415D3">
        <w:rPr>
          <w:rFonts w:eastAsia="Times New Roman" w:cstheme="minorHAnsi"/>
          <w:color w:val="222222"/>
          <w:sz w:val="20"/>
          <w:szCs w:val="20"/>
          <w:lang w:eastAsia="el-GR"/>
        </w:rPr>
        <w:t xml:space="preserve">και αποτελεί </w:t>
      </w:r>
      <w:r w:rsidRPr="007801B2">
        <w:rPr>
          <w:rFonts w:eastAsia="Times New Roman" w:cstheme="minorHAnsi"/>
          <w:color w:val="222222"/>
          <w:sz w:val="20"/>
          <w:szCs w:val="20"/>
          <w:lang w:eastAsia="el-GR"/>
        </w:rPr>
        <w:t xml:space="preserve">η </w:t>
      </w:r>
      <w:r w:rsidRPr="007415D3">
        <w:rPr>
          <w:rFonts w:eastAsia="Times New Roman" w:cstheme="minorHAnsi"/>
          <w:b/>
          <w:bCs/>
          <w:color w:val="222222"/>
          <w:sz w:val="20"/>
          <w:szCs w:val="20"/>
          <w:u w:val="single"/>
          <w:lang w:eastAsia="el-GR"/>
        </w:rPr>
        <w:t xml:space="preserve">θέσπιση </w:t>
      </w:r>
      <w:r w:rsidR="007801B2" w:rsidRPr="007415D3">
        <w:rPr>
          <w:rFonts w:eastAsia="Times New Roman" w:cstheme="minorHAnsi"/>
          <w:b/>
          <w:bCs/>
          <w:color w:val="222222"/>
          <w:sz w:val="20"/>
          <w:szCs w:val="20"/>
          <w:u w:val="single"/>
          <w:lang w:eastAsia="el-GR"/>
        </w:rPr>
        <w:t xml:space="preserve">δραστικά </w:t>
      </w:r>
      <w:r w:rsidRPr="007415D3">
        <w:rPr>
          <w:rFonts w:eastAsia="Times New Roman" w:cstheme="minorHAnsi"/>
          <w:b/>
          <w:bCs/>
          <w:color w:val="222222"/>
          <w:sz w:val="20"/>
          <w:szCs w:val="20"/>
          <w:u w:val="single"/>
          <w:lang w:eastAsia="el-GR"/>
        </w:rPr>
        <w:t xml:space="preserve">χαμηλών ορίων στις προσφορές των αγορών εξισορρόπησης και που θα συνάδουν με τα επίπεδα των Τιμών Εκκαθάρισης (ΤΕΑ) στην Αγορά Επόμενης Ημέρας (ΑΕΗ), ούτως ώστε να παταχθεί κάθε </w:t>
      </w:r>
      <w:r w:rsidR="007801B2" w:rsidRPr="007415D3">
        <w:rPr>
          <w:rFonts w:eastAsia="Times New Roman" w:cstheme="minorHAnsi"/>
          <w:b/>
          <w:bCs/>
          <w:color w:val="222222"/>
          <w:sz w:val="20"/>
          <w:szCs w:val="20"/>
          <w:u w:val="single"/>
          <w:lang w:eastAsia="el-GR"/>
        </w:rPr>
        <w:t xml:space="preserve">δυνατότητα </w:t>
      </w:r>
      <w:r w:rsidRPr="007415D3">
        <w:rPr>
          <w:rFonts w:eastAsia="Times New Roman" w:cstheme="minorHAnsi"/>
          <w:b/>
          <w:bCs/>
          <w:color w:val="222222"/>
          <w:sz w:val="20"/>
          <w:szCs w:val="20"/>
          <w:u w:val="single"/>
          <w:lang w:eastAsia="el-GR"/>
        </w:rPr>
        <w:t>υπερβολή</w:t>
      </w:r>
      <w:r w:rsidR="007801B2" w:rsidRPr="007415D3">
        <w:rPr>
          <w:rFonts w:eastAsia="Times New Roman" w:cstheme="minorHAnsi"/>
          <w:b/>
          <w:bCs/>
          <w:color w:val="222222"/>
          <w:sz w:val="20"/>
          <w:szCs w:val="20"/>
          <w:u w:val="single"/>
          <w:lang w:eastAsia="el-GR"/>
        </w:rPr>
        <w:t>ς</w:t>
      </w:r>
      <w:r w:rsidRPr="007415D3">
        <w:rPr>
          <w:rFonts w:eastAsia="Times New Roman" w:cstheme="minorHAnsi"/>
          <w:b/>
          <w:bCs/>
          <w:color w:val="222222"/>
          <w:sz w:val="20"/>
          <w:szCs w:val="20"/>
          <w:u w:val="single"/>
          <w:lang w:eastAsia="el-GR"/>
        </w:rPr>
        <w:t xml:space="preserve"> ή κερδοσκοπία</w:t>
      </w:r>
      <w:r w:rsidR="007801B2" w:rsidRPr="007415D3">
        <w:rPr>
          <w:rFonts w:eastAsia="Times New Roman" w:cstheme="minorHAnsi"/>
          <w:b/>
          <w:bCs/>
          <w:color w:val="222222"/>
          <w:sz w:val="20"/>
          <w:szCs w:val="20"/>
          <w:u w:val="single"/>
          <w:lang w:eastAsia="el-GR"/>
        </w:rPr>
        <w:t>ς</w:t>
      </w:r>
      <w:r w:rsidRPr="007801B2">
        <w:rPr>
          <w:rFonts w:eastAsia="Times New Roman" w:cstheme="minorHAnsi"/>
          <w:color w:val="222222"/>
          <w:sz w:val="20"/>
          <w:szCs w:val="20"/>
          <w:lang w:eastAsia="el-GR"/>
        </w:rPr>
        <w:t xml:space="preserve"> που εμφανίζεται από 1/11/20</w:t>
      </w:r>
      <w:r w:rsidR="007801B2" w:rsidRPr="007801B2">
        <w:rPr>
          <w:rFonts w:eastAsia="Times New Roman" w:cstheme="minorHAnsi"/>
          <w:color w:val="222222"/>
          <w:sz w:val="20"/>
          <w:szCs w:val="20"/>
          <w:lang w:eastAsia="el-GR"/>
        </w:rPr>
        <w:t xml:space="preserve"> </w:t>
      </w:r>
      <w:r w:rsidR="007801B2">
        <w:rPr>
          <w:rFonts w:eastAsia="Times New Roman" w:cstheme="minorHAnsi"/>
          <w:color w:val="222222"/>
          <w:sz w:val="20"/>
          <w:szCs w:val="20"/>
          <w:lang w:eastAsia="el-GR"/>
        </w:rPr>
        <w:t xml:space="preserve">σε αυτές </w:t>
      </w:r>
      <w:r w:rsidR="007801B2" w:rsidRPr="007801B2">
        <w:rPr>
          <w:rFonts w:eastAsia="Times New Roman" w:cstheme="minorHAnsi"/>
          <w:color w:val="222222"/>
          <w:sz w:val="20"/>
          <w:szCs w:val="20"/>
          <w:lang w:eastAsia="el-GR"/>
        </w:rPr>
        <w:t xml:space="preserve">και </w:t>
      </w:r>
      <w:r w:rsidR="007801B2">
        <w:rPr>
          <w:rFonts w:eastAsia="Times New Roman" w:cstheme="minorHAnsi"/>
          <w:color w:val="222222"/>
          <w:sz w:val="20"/>
          <w:szCs w:val="20"/>
          <w:lang w:eastAsia="el-GR"/>
        </w:rPr>
        <w:t xml:space="preserve">που </w:t>
      </w:r>
      <w:r w:rsidR="007801B2" w:rsidRPr="007801B2">
        <w:rPr>
          <w:rFonts w:eastAsia="Times New Roman" w:cstheme="minorHAnsi"/>
          <w:color w:val="222222"/>
          <w:sz w:val="20"/>
          <w:szCs w:val="20"/>
          <w:lang w:eastAsia="el-GR"/>
        </w:rPr>
        <w:t>έχει εξαντλήσει οικονομικά τους μη καθετοποιημένους Προμηθευτές, τον Ειδικό Λογαριασμό ΑΠΕ (ΕΛΑΠΕ) του ΔΑΠΕΕΠ</w:t>
      </w:r>
      <w:r w:rsidR="005B3619">
        <w:rPr>
          <w:rFonts w:eastAsia="Times New Roman" w:cstheme="minorHAnsi"/>
          <w:color w:val="222222"/>
          <w:sz w:val="20"/>
          <w:szCs w:val="20"/>
          <w:lang w:eastAsia="el-GR"/>
        </w:rPr>
        <w:t xml:space="preserve"> για τα έργα με ΣΠΗΕ</w:t>
      </w:r>
      <w:r w:rsidR="007415D3">
        <w:rPr>
          <w:rFonts w:eastAsia="Times New Roman" w:cstheme="minorHAnsi"/>
          <w:color w:val="222222"/>
          <w:sz w:val="20"/>
          <w:szCs w:val="20"/>
          <w:lang w:eastAsia="el-GR"/>
        </w:rPr>
        <w:t xml:space="preserve"> και </w:t>
      </w:r>
      <w:r w:rsidR="005B3619">
        <w:rPr>
          <w:rFonts w:eastAsia="Times New Roman" w:cstheme="minorHAnsi"/>
          <w:color w:val="222222"/>
          <w:sz w:val="20"/>
          <w:szCs w:val="20"/>
          <w:lang w:eastAsia="el-GR"/>
        </w:rPr>
        <w:t>ΣΕΣΤ</w:t>
      </w:r>
      <w:r w:rsidR="000B2FFB">
        <w:rPr>
          <w:rFonts w:eastAsia="Times New Roman" w:cstheme="minorHAnsi"/>
          <w:color w:val="222222"/>
          <w:sz w:val="20"/>
          <w:szCs w:val="20"/>
          <w:lang w:eastAsia="el-GR"/>
        </w:rPr>
        <w:t xml:space="preserve"> που </w:t>
      </w:r>
      <w:r w:rsidR="00D33067">
        <w:rPr>
          <w:rFonts w:eastAsia="Times New Roman" w:cstheme="minorHAnsi"/>
          <w:color w:val="222222"/>
          <w:sz w:val="20"/>
          <w:szCs w:val="20"/>
          <w:lang w:eastAsia="el-GR"/>
        </w:rPr>
        <w:t xml:space="preserve">εκπροσωπεί και </w:t>
      </w:r>
      <w:r w:rsidR="007415D3">
        <w:rPr>
          <w:rFonts w:eastAsia="Times New Roman" w:cstheme="minorHAnsi"/>
          <w:color w:val="222222"/>
          <w:sz w:val="20"/>
          <w:szCs w:val="20"/>
          <w:lang w:eastAsia="el-GR"/>
        </w:rPr>
        <w:t xml:space="preserve">που </w:t>
      </w:r>
      <w:r w:rsidR="000B2FFB">
        <w:rPr>
          <w:rFonts w:eastAsia="Times New Roman" w:cstheme="minorHAnsi"/>
          <w:color w:val="222222"/>
          <w:sz w:val="20"/>
          <w:szCs w:val="20"/>
          <w:lang w:eastAsia="el-GR"/>
        </w:rPr>
        <w:t>εκ του νόμου δεν φέρουν υποχρεώσεις εξισορρόπησης</w:t>
      </w:r>
      <w:r w:rsidR="007801B2" w:rsidRPr="007801B2">
        <w:rPr>
          <w:rFonts w:eastAsia="Times New Roman" w:cstheme="minorHAnsi"/>
          <w:color w:val="222222"/>
          <w:sz w:val="20"/>
          <w:szCs w:val="20"/>
          <w:lang w:eastAsia="el-GR"/>
        </w:rPr>
        <w:t xml:space="preserve">, ενώ απειλεί με την εκπνοή του </w:t>
      </w:r>
      <w:r w:rsidR="00810BC9">
        <w:rPr>
          <w:rFonts w:eastAsia="Times New Roman" w:cstheme="minorHAnsi"/>
          <w:color w:val="222222"/>
          <w:sz w:val="20"/>
          <w:szCs w:val="20"/>
          <w:lang w:eastAsia="el-GR"/>
        </w:rPr>
        <w:t>Μ</w:t>
      </w:r>
      <w:r w:rsidR="007801B2" w:rsidRPr="007801B2">
        <w:rPr>
          <w:rFonts w:eastAsia="Times New Roman" w:cstheme="minorHAnsi"/>
          <w:color w:val="222222"/>
          <w:sz w:val="20"/>
          <w:szCs w:val="20"/>
          <w:lang w:eastAsia="el-GR"/>
        </w:rPr>
        <w:t xml:space="preserve">ΜΒΑΠ (Μεταβατικού Μηχανισμού Βέλτιστης Ακρίβειας Πρόβλεψης) να τινάξει στον αέρα </w:t>
      </w:r>
      <w:r w:rsidR="005B3619">
        <w:rPr>
          <w:rFonts w:eastAsia="Times New Roman" w:cstheme="minorHAnsi"/>
          <w:color w:val="222222"/>
          <w:sz w:val="20"/>
          <w:szCs w:val="20"/>
          <w:lang w:eastAsia="el-GR"/>
        </w:rPr>
        <w:t>επενδύσεις</w:t>
      </w:r>
      <w:r w:rsidR="007801B2" w:rsidRPr="007801B2">
        <w:rPr>
          <w:rFonts w:eastAsia="Times New Roman" w:cstheme="minorHAnsi"/>
          <w:color w:val="222222"/>
          <w:sz w:val="20"/>
          <w:szCs w:val="20"/>
          <w:lang w:eastAsia="el-GR"/>
        </w:rPr>
        <w:t xml:space="preserve"> ΑΠΕ </w:t>
      </w:r>
      <w:r w:rsidR="009E3DAC">
        <w:rPr>
          <w:rFonts w:eastAsia="Times New Roman" w:cstheme="minorHAnsi"/>
          <w:color w:val="222222"/>
          <w:sz w:val="20"/>
          <w:szCs w:val="20"/>
          <w:lang w:eastAsia="el-GR"/>
        </w:rPr>
        <w:t xml:space="preserve">μη καθετοποιημένων συμμετεχόντων </w:t>
      </w:r>
      <w:r w:rsidR="007801B2" w:rsidRPr="007801B2">
        <w:rPr>
          <w:rFonts w:eastAsia="Times New Roman" w:cstheme="minorHAnsi"/>
          <w:color w:val="222222"/>
          <w:sz w:val="20"/>
          <w:szCs w:val="20"/>
          <w:lang w:eastAsia="el-GR"/>
        </w:rPr>
        <w:t>με ΣΕΔΠ που εκ του ν. 4414/2016 φέρουν υποχρεώσεις εξισορρόπησης</w:t>
      </w:r>
      <w:r w:rsidR="005B3619">
        <w:rPr>
          <w:rFonts w:eastAsia="Times New Roman" w:cstheme="minorHAnsi"/>
          <w:color w:val="222222"/>
          <w:sz w:val="20"/>
          <w:szCs w:val="20"/>
          <w:lang w:eastAsia="el-GR"/>
        </w:rPr>
        <w:t xml:space="preserve"> </w:t>
      </w:r>
      <w:r w:rsidR="000B2FFB">
        <w:rPr>
          <w:rFonts w:eastAsia="Times New Roman" w:cstheme="minorHAnsi"/>
          <w:color w:val="222222"/>
          <w:sz w:val="20"/>
          <w:szCs w:val="20"/>
          <w:lang w:eastAsia="el-GR"/>
        </w:rPr>
        <w:t xml:space="preserve">είτε απευθείας είτε μέσω ΦοΣΕ </w:t>
      </w:r>
      <w:r w:rsidR="00D33067">
        <w:rPr>
          <w:rFonts w:eastAsia="Times New Roman" w:cstheme="minorHAnsi"/>
          <w:color w:val="222222"/>
          <w:sz w:val="20"/>
          <w:szCs w:val="20"/>
          <w:lang w:eastAsia="el-GR"/>
        </w:rPr>
        <w:t xml:space="preserve">που λειτουργούν, </w:t>
      </w:r>
      <w:r w:rsidR="005B3619">
        <w:rPr>
          <w:rFonts w:eastAsia="Times New Roman" w:cstheme="minorHAnsi"/>
          <w:color w:val="222222"/>
          <w:sz w:val="20"/>
          <w:szCs w:val="20"/>
          <w:lang w:eastAsia="el-GR"/>
        </w:rPr>
        <w:t xml:space="preserve">αλλά </w:t>
      </w:r>
      <w:r w:rsidR="000B2FFB">
        <w:rPr>
          <w:rFonts w:eastAsia="Times New Roman" w:cstheme="minorHAnsi"/>
          <w:color w:val="222222"/>
          <w:sz w:val="20"/>
          <w:szCs w:val="20"/>
          <w:lang w:eastAsia="el-GR"/>
        </w:rPr>
        <w:t xml:space="preserve">που </w:t>
      </w:r>
      <w:r w:rsidR="005B3619">
        <w:rPr>
          <w:rFonts w:eastAsia="Times New Roman" w:cstheme="minorHAnsi"/>
          <w:color w:val="222222"/>
          <w:sz w:val="20"/>
          <w:szCs w:val="20"/>
          <w:lang w:eastAsia="el-GR"/>
        </w:rPr>
        <w:t xml:space="preserve">προς το παρόν το κόστος αυτό </w:t>
      </w:r>
      <w:r w:rsidR="000B2FFB">
        <w:rPr>
          <w:rFonts w:eastAsia="Times New Roman" w:cstheme="minorHAnsi"/>
          <w:color w:val="222222"/>
          <w:sz w:val="20"/>
          <w:szCs w:val="20"/>
          <w:lang w:eastAsia="el-GR"/>
        </w:rPr>
        <w:t>καλύπτεται από</w:t>
      </w:r>
      <w:r w:rsidR="005B3619">
        <w:rPr>
          <w:rFonts w:eastAsia="Times New Roman" w:cstheme="minorHAnsi"/>
          <w:color w:val="222222"/>
          <w:sz w:val="20"/>
          <w:szCs w:val="20"/>
          <w:lang w:eastAsia="el-GR"/>
        </w:rPr>
        <w:t xml:space="preserve"> τον ΕΛΑΠΕ</w:t>
      </w:r>
      <w:r w:rsidRPr="007801B2">
        <w:rPr>
          <w:rFonts w:eastAsia="Times New Roman" w:cstheme="minorHAnsi"/>
          <w:color w:val="222222"/>
          <w:sz w:val="20"/>
          <w:szCs w:val="20"/>
          <w:lang w:eastAsia="el-GR"/>
        </w:rPr>
        <w:t xml:space="preserve">.  </w:t>
      </w:r>
    </w:p>
    <w:p w14:paraId="4D953FB3" w14:textId="27852057" w:rsidR="00E650BF" w:rsidRDefault="00E650BF" w:rsidP="00074CC2">
      <w:pPr>
        <w:shd w:val="clear" w:color="auto" w:fill="FFFFFF"/>
        <w:spacing w:after="0" w:line="240" w:lineRule="auto"/>
        <w:ind w:left="426" w:hanging="284"/>
        <w:jc w:val="both"/>
        <w:rPr>
          <w:rFonts w:eastAsia="Times New Roman" w:cstheme="minorHAnsi"/>
          <w:color w:val="222222"/>
          <w:sz w:val="20"/>
          <w:szCs w:val="20"/>
          <w:lang w:eastAsia="el-GR"/>
        </w:rPr>
      </w:pPr>
    </w:p>
    <w:p w14:paraId="39368039" w14:textId="72B510D8" w:rsidR="00E650BF" w:rsidRPr="00074CC2" w:rsidRDefault="00E650BF"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sidRPr="00074CC2">
        <w:rPr>
          <w:rFonts w:eastAsia="Times New Roman" w:cstheme="minorHAnsi"/>
          <w:color w:val="222222"/>
          <w:sz w:val="20"/>
          <w:szCs w:val="20"/>
          <w:lang w:eastAsia="el-GR"/>
        </w:rPr>
        <w:t>Πιο συγκεκριμένα, για τους Προμηθευτές, που αντικειμενικά είναι αδύνατο να προβλέψουν την κατανάλωση των πελατών τους από την προηγούμενη ημέρα και μάλιστα ανά ώρα, κρινόμενοι στον πραγματικό χρόνο ανά 15λεπτο με τυφλή αναγωγή των ποσοτήτων</w:t>
      </w:r>
      <w:r w:rsidR="005D49AD" w:rsidRPr="00074CC2">
        <w:rPr>
          <w:rFonts w:eastAsia="Times New Roman" w:cstheme="minorHAnsi"/>
          <w:color w:val="222222"/>
          <w:sz w:val="20"/>
          <w:szCs w:val="20"/>
          <w:lang w:eastAsia="el-GR"/>
        </w:rPr>
        <w:t xml:space="preserve"> </w:t>
      </w:r>
      <w:r w:rsidR="00455893">
        <w:rPr>
          <w:rFonts w:eastAsia="Times New Roman" w:cstheme="minorHAnsi"/>
          <w:color w:val="222222"/>
          <w:sz w:val="20"/>
          <w:szCs w:val="20"/>
          <w:lang w:eastAsia="el-GR"/>
        </w:rPr>
        <w:t xml:space="preserve">στις αγορές εξισορρόπησης, </w:t>
      </w:r>
      <w:r w:rsidR="005D49AD" w:rsidRPr="00074CC2">
        <w:rPr>
          <w:rFonts w:eastAsia="Times New Roman" w:cstheme="minorHAnsi"/>
          <w:color w:val="222222"/>
          <w:sz w:val="20"/>
          <w:szCs w:val="20"/>
          <w:lang w:eastAsia="el-GR"/>
        </w:rPr>
        <w:t xml:space="preserve">οπότε και προκύπτουν </w:t>
      </w:r>
      <w:r w:rsidR="000E56A6" w:rsidRPr="00074CC2">
        <w:rPr>
          <w:rFonts w:eastAsia="Times New Roman" w:cstheme="minorHAnsi"/>
          <w:color w:val="222222"/>
          <w:sz w:val="20"/>
          <w:szCs w:val="20"/>
          <w:lang w:eastAsia="el-GR"/>
        </w:rPr>
        <w:t xml:space="preserve">νομοτελειακά </w:t>
      </w:r>
      <w:r w:rsidR="005D49AD" w:rsidRPr="00074CC2">
        <w:rPr>
          <w:rFonts w:eastAsia="Times New Roman" w:cstheme="minorHAnsi"/>
          <w:color w:val="222222"/>
          <w:sz w:val="20"/>
          <w:szCs w:val="20"/>
          <w:lang w:eastAsia="el-GR"/>
        </w:rPr>
        <w:t>υπερ</w:t>
      </w:r>
      <w:r w:rsidR="00455893">
        <w:rPr>
          <w:rFonts w:eastAsia="Times New Roman" w:cstheme="minorHAnsi"/>
          <w:color w:val="222222"/>
          <w:sz w:val="20"/>
          <w:szCs w:val="20"/>
          <w:lang w:eastAsia="el-GR"/>
        </w:rPr>
        <w:t>δ</w:t>
      </w:r>
      <w:r w:rsidR="005D49AD" w:rsidRPr="00074CC2">
        <w:rPr>
          <w:rFonts w:eastAsia="Times New Roman" w:cstheme="minorHAnsi"/>
          <w:color w:val="222222"/>
          <w:sz w:val="20"/>
          <w:szCs w:val="20"/>
          <w:lang w:eastAsia="el-GR"/>
        </w:rPr>
        <w:t>ηλώσεις/υποδηλώσεις</w:t>
      </w:r>
      <w:r w:rsidRPr="00074CC2">
        <w:rPr>
          <w:rFonts w:eastAsia="Times New Roman" w:cstheme="minorHAnsi"/>
          <w:color w:val="222222"/>
          <w:sz w:val="20"/>
          <w:szCs w:val="20"/>
          <w:lang w:eastAsia="el-GR"/>
        </w:rPr>
        <w:t xml:space="preserve">, το μοναδιαίο κόστος του Λογαριασμού Προσαυξήσεων ΛΠ-3 </w:t>
      </w:r>
      <w:r w:rsidR="00455893">
        <w:rPr>
          <w:rFonts w:eastAsia="Times New Roman" w:cstheme="minorHAnsi"/>
          <w:color w:val="222222"/>
          <w:sz w:val="20"/>
          <w:szCs w:val="20"/>
          <w:lang w:eastAsia="el-GR"/>
        </w:rPr>
        <w:t xml:space="preserve">ανά εβδομάδα </w:t>
      </w:r>
      <w:r w:rsidRPr="00074CC2">
        <w:rPr>
          <w:rFonts w:eastAsia="Times New Roman" w:cstheme="minorHAnsi"/>
          <w:color w:val="222222"/>
          <w:sz w:val="20"/>
          <w:szCs w:val="20"/>
          <w:lang w:eastAsia="el-GR"/>
        </w:rPr>
        <w:t xml:space="preserve">κατά μέσο όρο την περίοδο 1/11-13/12 φθάνει τα </w:t>
      </w:r>
      <w:r w:rsidR="00455893">
        <w:rPr>
          <w:rFonts w:eastAsia="Times New Roman" w:cstheme="minorHAnsi"/>
          <w:color w:val="222222"/>
          <w:sz w:val="20"/>
          <w:szCs w:val="20"/>
          <w:lang w:eastAsia="el-GR"/>
        </w:rPr>
        <w:t>14.1</w:t>
      </w:r>
      <w:r w:rsidRPr="00074CC2">
        <w:rPr>
          <w:rFonts w:eastAsia="Times New Roman" w:cstheme="minorHAnsi"/>
          <w:color w:val="222222"/>
          <w:sz w:val="20"/>
          <w:szCs w:val="20"/>
          <w:lang w:eastAsia="el-GR"/>
        </w:rPr>
        <w:t xml:space="preserve"> ευρώ ανά πωλούμενη </w:t>
      </w:r>
      <w:r w:rsidRPr="00074CC2">
        <w:rPr>
          <w:rFonts w:eastAsia="Times New Roman" w:cstheme="minorHAnsi"/>
          <w:color w:val="222222"/>
          <w:sz w:val="20"/>
          <w:szCs w:val="20"/>
          <w:lang w:val="en-US" w:eastAsia="el-GR"/>
        </w:rPr>
        <w:t>MWh</w:t>
      </w:r>
      <w:r w:rsidRPr="00074CC2">
        <w:rPr>
          <w:rFonts w:eastAsia="Times New Roman" w:cstheme="minorHAnsi"/>
          <w:color w:val="222222"/>
          <w:sz w:val="20"/>
          <w:szCs w:val="20"/>
          <w:lang w:eastAsia="el-GR"/>
        </w:rPr>
        <w:t xml:space="preserve">, ενώ μαζί και των ΛΠ-1 και ΛΠ-2 φθάνει συνολικά τα </w:t>
      </w:r>
      <w:r w:rsidR="00455893">
        <w:rPr>
          <w:rFonts w:eastAsia="Times New Roman" w:cstheme="minorHAnsi"/>
          <w:color w:val="222222"/>
          <w:sz w:val="20"/>
          <w:szCs w:val="20"/>
          <w:lang w:eastAsia="el-GR"/>
        </w:rPr>
        <w:t>17.9</w:t>
      </w:r>
      <w:r w:rsidRPr="00074CC2">
        <w:rPr>
          <w:rFonts w:eastAsia="Times New Roman" w:cstheme="minorHAnsi"/>
          <w:color w:val="222222"/>
          <w:sz w:val="20"/>
          <w:szCs w:val="20"/>
          <w:lang w:eastAsia="el-GR"/>
        </w:rPr>
        <w:t xml:space="preserve"> ευρώ/</w:t>
      </w:r>
      <w:r w:rsidRPr="00074CC2">
        <w:rPr>
          <w:rFonts w:eastAsia="Times New Roman" w:cstheme="minorHAnsi"/>
          <w:color w:val="222222"/>
          <w:sz w:val="20"/>
          <w:szCs w:val="20"/>
          <w:lang w:val="en-US" w:eastAsia="el-GR"/>
        </w:rPr>
        <w:t>MWh</w:t>
      </w:r>
      <w:r w:rsidRPr="00074CC2">
        <w:rPr>
          <w:rFonts w:eastAsia="Times New Roman" w:cstheme="minorHAnsi"/>
          <w:color w:val="222222"/>
          <w:sz w:val="20"/>
          <w:szCs w:val="20"/>
          <w:lang w:eastAsia="el-GR"/>
        </w:rPr>
        <w:t>, από ~4 ευρώ/</w:t>
      </w:r>
      <w:r w:rsidRPr="00074CC2">
        <w:rPr>
          <w:rFonts w:eastAsia="Times New Roman" w:cstheme="minorHAnsi"/>
          <w:color w:val="222222"/>
          <w:sz w:val="20"/>
          <w:szCs w:val="20"/>
          <w:lang w:val="en-US" w:eastAsia="el-GR"/>
        </w:rPr>
        <w:t>MWh</w:t>
      </w:r>
      <w:r w:rsidRPr="00074CC2">
        <w:rPr>
          <w:rFonts w:eastAsia="Times New Roman" w:cstheme="minorHAnsi"/>
          <w:color w:val="222222"/>
          <w:sz w:val="20"/>
          <w:szCs w:val="20"/>
          <w:lang w:eastAsia="el-GR"/>
        </w:rPr>
        <w:t xml:space="preserve"> τα προηγούμενα χρόνια.  Δηλαδή </w:t>
      </w:r>
      <w:r w:rsidRPr="00A3678A">
        <w:rPr>
          <w:rFonts w:eastAsia="Times New Roman" w:cstheme="minorHAnsi"/>
          <w:b/>
          <w:bCs/>
          <w:color w:val="222222"/>
          <w:sz w:val="20"/>
          <w:szCs w:val="20"/>
          <w:u w:val="single"/>
          <w:lang w:eastAsia="el-GR"/>
        </w:rPr>
        <w:t xml:space="preserve">πρόκειται για </w:t>
      </w:r>
      <w:r w:rsidR="00455893" w:rsidRPr="00A3678A">
        <w:rPr>
          <w:rFonts w:eastAsia="Times New Roman" w:cstheme="minorHAnsi"/>
          <w:b/>
          <w:bCs/>
          <w:color w:val="222222"/>
          <w:sz w:val="20"/>
          <w:szCs w:val="20"/>
          <w:u w:val="single"/>
          <w:lang w:eastAsia="el-GR"/>
        </w:rPr>
        <w:t xml:space="preserve">τετραπλασιασμό και πλέον του </w:t>
      </w:r>
      <w:r w:rsidRPr="00A3678A">
        <w:rPr>
          <w:rFonts w:eastAsia="Times New Roman" w:cstheme="minorHAnsi"/>
          <w:b/>
          <w:bCs/>
          <w:color w:val="222222"/>
          <w:sz w:val="20"/>
          <w:szCs w:val="20"/>
          <w:u w:val="single"/>
          <w:lang w:eastAsia="el-GR"/>
        </w:rPr>
        <w:t xml:space="preserve">κόστους </w:t>
      </w:r>
      <w:r w:rsidR="00050574" w:rsidRPr="00A3678A">
        <w:rPr>
          <w:rFonts w:eastAsia="Times New Roman" w:cstheme="minorHAnsi"/>
          <w:b/>
          <w:bCs/>
          <w:color w:val="222222"/>
          <w:sz w:val="20"/>
          <w:szCs w:val="20"/>
          <w:u w:val="single"/>
          <w:lang w:eastAsia="el-GR"/>
        </w:rPr>
        <w:t xml:space="preserve">εξισορρόπησης </w:t>
      </w:r>
      <w:r w:rsidRPr="00A3678A">
        <w:rPr>
          <w:rFonts w:eastAsia="Times New Roman" w:cstheme="minorHAnsi"/>
          <w:b/>
          <w:bCs/>
          <w:color w:val="222222"/>
          <w:sz w:val="20"/>
          <w:szCs w:val="20"/>
          <w:u w:val="single"/>
          <w:lang w:eastAsia="el-GR"/>
        </w:rPr>
        <w:t xml:space="preserve">χωρίς μάλιστα να έχει αλλάξει κάτι </w:t>
      </w:r>
      <w:r w:rsidR="00455893" w:rsidRPr="00A3678A">
        <w:rPr>
          <w:rFonts w:eastAsia="Times New Roman" w:cstheme="minorHAnsi"/>
          <w:b/>
          <w:bCs/>
          <w:color w:val="222222"/>
          <w:sz w:val="20"/>
          <w:szCs w:val="20"/>
          <w:u w:val="single"/>
          <w:lang w:eastAsia="el-GR"/>
        </w:rPr>
        <w:t xml:space="preserve">δομικό </w:t>
      </w:r>
      <w:r w:rsidRPr="00A3678A">
        <w:rPr>
          <w:rFonts w:eastAsia="Times New Roman" w:cstheme="minorHAnsi"/>
          <w:b/>
          <w:bCs/>
          <w:color w:val="222222"/>
          <w:sz w:val="20"/>
          <w:szCs w:val="20"/>
          <w:u w:val="single"/>
          <w:lang w:eastAsia="el-GR"/>
        </w:rPr>
        <w:t xml:space="preserve">στην </w:t>
      </w:r>
      <w:r w:rsidR="00050574" w:rsidRPr="00A3678A">
        <w:rPr>
          <w:rFonts w:eastAsia="Times New Roman" w:cstheme="minorHAnsi"/>
          <w:b/>
          <w:bCs/>
          <w:color w:val="222222"/>
          <w:sz w:val="20"/>
          <w:szCs w:val="20"/>
          <w:u w:val="single"/>
          <w:lang w:eastAsia="el-GR"/>
        </w:rPr>
        <w:t xml:space="preserve">θερμική </w:t>
      </w:r>
      <w:r w:rsidRPr="00A3678A">
        <w:rPr>
          <w:rFonts w:eastAsia="Times New Roman" w:cstheme="minorHAnsi"/>
          <w:b/>
          <w:bCs/>
          <w:color w:val="222222"/>
          <w:sz w:val="20"/>
          <w:szCs w:val="20"/>
          <w:u w:val="single"/>
          <w:lang w:eastAsia="el-GR"/>
        </w:rPr>
        <w:t xml:space="preserve">παραγωγή </w:t>
      </w:r>
      <w:r w:rsidR="00A3678A" w:rsidRPr="00A3678A">
        <w:rPr>
          <w:rFonts w:eastAsia="Times New Roman" w:cstheme="minorHAnsi"/>
          <w:b/>
          <w:bCs/>
          <w:color w:val="222222"/>
          <w:sz w:val="20"/>
          <w:szCs w:val="20"/>
          <w:u w:val="single"/>
          <w:lang w:eastAsia="el-GR"/>
        </w:rPr>
        <w:t>που επιτελ</w:t>
      </w:r>
      <w:r w:rsidR="00A3678A">
        <w:rPr>
          <w:rFonts w:eastAsia="Times New Roman" w:cstheme="minorHAnsi"/>
          <w:b/>
          <w:bCs/>
          <w:color w:val="222222"/>
          <w:sz w:val="20"/>
          <w:szCs w:val="20"/>
          <w:u w:val="single"/>
          <w:lang w:eastAsia="el-GR"/>
        </w:rPr>
        <w:t>εί</w:t>
      </w:r>
      <w:r w:rsidR="00A3678A" w:rsidRPr="00A3678A">
        <w:rPr>
          <w:rFonts w:eastAsia="Times New Roman" w:cstheme="minorHAnsi"/>
          <w:b/>
          <w:bCs/>
          <w:color w:val="222222"/>
          <w:sz w:val="20"/>
          <w:szCs w:val="20"/>
          <w:u w:val="single"/>
          <w:lang w:eastAsia="el-GR"/>
        </w:rPr>
        <w:t xml:space="preserve"> τα τελευταία 15 χρόνια την λειτουργία αυτή</w:t>
      </w:r>
      <w:r w:rsidR="007658C6" w:rsidRPr="00A3678A">
        <w:rPr>
          <w:rFonts w:eastAsia="Times New Roman" w:cstheme="minorHAnsi"/>
          <w:b/>
          <w:bCs/>
          <w:color w:val="222222"/>
          <w:sz w:val="20"/>
          <w:szCs w:val="20"/>
          <w:u w:val="single"/>
          <w:lang w:eastAsia="el-GR"/>
        </w:rPr>
        <w:t>.</w:t>
      </w:r>
      <w:r w:rsidRPr="00074CC2">
        <w:rPr>
          <w:rFonts w:eastAsia="Times New Roman" w:cstheme="minorHAnsi"/>
          <w:color w:val="222222"/>
          <w:sz w:val="20"/>
          <w:szCs w:val="20"/>
          <w:lang w:eastAsia="el-GR"/>
        </w:rPr>
        <w:t xml:space="preserve">  </w:t>
      </w:r>
    </w:p>
    <w:p w14:paraId="046CF02C" w14:textId="6246863F" w:rsidR="00E66073" w:rsidRDefault="00E66073" w:rsidP="00074CC2">
      <w:pPr>
        <w:shd w:val="clear" w:color="auto" w:fill="FFFFFF"/>
        <w:spacing w:after="0" w:line="240" w:lineRule="auto"/>
        <w:ind w:left="426" w:hanging="284"/>
        <w:jc w:val="both"/>
        <w:rPr>
          <w:rFonts w:eastAsia="Times New Roman" w:cstheme="minorHAnsi"/>
          <w:color w:val="222222"/>
          <w:sz w:val="20"/>
          <w:szCs w:val="20"/>
          <w:lang w:eastAsia="el-GR"/>
        </w:rPr>
      </w:pPr>
    </w:p>
    <w:p w14:paraId="49EC3BD4" w14:textId="7152AB0E" w:rsidR="00E66073" w:rsidRPr="00074CC2" w:rsidRDefault="00E66073"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sidRPr="00074CC2">
        <w:rPr>
          <w:sz w:val="20"/>
          <w:szCs w:val="20"/>
        </w:rPr>
        <w:t xml:space="preserve">Σε ότι αφορά τον ΕΛΑΠΕ ειδικότερα και εν προκειμένω για τα έργα με ΣΠΗΕ και ΣΕΣΤ που διαχειρίζεται εκ του νόμου ο ΔΑΠΕΕΠ, με βάση το συνολικό πρόγραμμα συναλλαγών για τις ΑΠΕ στην Προημερήσια αγορά όπως δημοσιεύεται, την αναλογία σε αυτά των έργων με ΣΠΗΕ-ΣΕΣΤ όπως προκύπτει από τις δηλώσεις του ΔΑΠΕΕΠ, τα συνολικά στοιχεία παραγωγής για τις ΑΠΕ που δημοσιεύονται από ΑΔΜΗΕ, καθώς και τις μοναδιαίες τιμές της Τιμής Αποκλίσεων που δημοσιεύονται επίσης από τον ΑΔΜΗΕ, με τις κατάλληλες αναγωγές </w:t>
      </w:r>
      <w:r w:rsidRPr="00074CC2">
        <w:rPr>
          <w:b/>
          <w:bCs/>
          <w:sz w:val="20"/>
          <w:szCs w:val="20"/>
          <w:u w:val="single"/>
        </w:rPr>
        <w:t xml:space="preserve">υπολογίζουμε πως ο ΕΛΑΠΕ επιβαρύνεται με δυσθεώρητο κόστος για ευθύνη εξισορρόπησης του χαρτοφυλακίου αυτού, που φθάνει τα </w:t>
      </w:r>
      <w:r w:rsidR="000E56A6" w:rsidRPr="00074CC2">
        <w:rPr>
          <w:b/>
          <w:bCs/>
          <w:sz w:val="20"/>
          <w:szCs w:val="20"/>
          <w:u w:val="single"/>
        </w:rPr>
        <w:t>~</w:t>
      </w:r>
      <w:r w:rsidRPr="00074CC2">
        <w:rPr>
          <w:b/>
          <w:bCs/>
          <w:sz w:val="20"/>
          <w:szCs w:val="20"/>
          <w:u w:val="single"/>
        </w:rPr>
        <w:t>12 ευρώ/</w:t>
      </w:r>
      <w:proofErr w:type="spellStart"/>
      <w:r w:rsidRPr="00074CC2">
        <w:rPr>
          <w:b/>
          <w:bCs/>
          <w:sz w:val="20"/>
          <w:szCs w:val="20"/>
          <w:u w:val="single"/>
          <w:lang w:val="en-US"/>
        </w:rPr>
        <w:t>MWh</w:t>
      </w:r>
      <w:proofErr w:type="spellEnd"/>
      <w:r w:rsidRPr="00074CC2">
        <w:rPr>
          <w:b/>
          <w:bCs/>
          <w:sz w:val="20"/>
          <w:szCs w:val="20"/>
          <w:u w:val="single"/>
        </w:rPr>
        <w:t xml:space="preserve"> μεσοσταθμικά για την περίοδο 1/11 – 13/12/20 έχοντας μάλιστα καταγράψει εκρηκτικές τιμές σε </w:t>
      </w:r>
      <w:r w:rsidR="000E56A6" w:rsidRPr="00074CC2">
        <w:rPr>
          <w:b/>
          <w:bCs/>
          <w:sz w:val="20"/>
          <w:szCs w:val="20"/>
          <w:u w:val="single"/>
        </w:rPr>
        <w:t xml:space="preserve">επιμέρους </w:t>
      </w:r>
      <w:r w:rsidRPr="00074CC2">
        <w:rPr>
          <w:b/>
          <w:bCs/>
          <w:sz w:val="20"/>
          <w:szCs w:val="20"/>
          <w:u w:val="single"/>
        </w:rPr>
        <w:t>επίπεδο εβδομάδα</w:t>
      </w:r>
      <w:r w:rsidR="00865578">
        <w:rPr>
          <w:b/>
          <w:bCs/>
          <w:sz w:val="20"/>
          <w:szCs w:val="20"/>
          <w:u w:val="single"/>
        </w:rPr>
        <w:t>ς</w:t>
      </w:r>
      <w:r w:rsidRPr="00074CC2">
        <w:rPr>
          <w:b/>
          <w:bCs/>
          <w:sz w:val="20"/>
          <w:szCs w:val="20"/>
          <w:u w:val="single"/>
        </w:rPr>
        <w:t xml:space="preserve"> </w:t>
      </w:r>
      <w:r w:rsidRPr="00074CC2">
        <w:rPr>
          <w:sz w:val="20"/>
          <w:szCs w:val="20"/>
        </w:rPr>
        <w:t xml:space="preserve">(την εβδομάδα 30/11-6/12 που το μοναδιαίο κόστος </w:t>
      </w:r>
      <w:r w:rsidR="00865578">
        <w:rPr>
          <w:sz w:val="20"/>
          <w:szCs w:val="20"/>
        </w:rPr>
        <w:t xml:space="preserve">εξισορρόπησης </w:t>
      </w:r>
      <w:r w:rsidRPr="00074CC2">
        <w:rPr>
          <w:sz w:val="20"/>
          <w:szCs w:val="20"/>
        </w:rPr>
        <w:t xml:space="preserve">έφθασε </w:t>
      </w:r>
      <w:r w:rsidR="000E56A6" w:rsidRPr="00074CC2">
        <w:rPr>
          <w:sz w:val="20"/>
          <w:szCs w:val="20"/>
        </w:rPr>
        <w:t>σε</w:t>
      </w:r>
      <w:r w:rsidRPr="00074CC2">
        <w:rPr>
          <w:sz w:val="20"/>
          <w:szCs w:val="20"/>
        </w:rPr>
        <w:t xml:space="preserve"> ύψος </w:t>
      </w:r>
      <w:r w:rsidR="000E56A6" w:rsidRPr="00074CC2">
        <w:rPr>
          <w:sz w:val="20"/>
          <w:szCs w:val="20"/>
        </w:rPr>
        <w:t>τα ~70 ευρώ/</w:t>
      </w:r>
      <w:r w:rsidR="000E56A6" w:rsidRPr="00074CC2">
        <w:rPr>
          <w:sz w:val="20"/>
          <w:szCs w:val="20"/>
          <w:lang w:val="en-US"/>
        </w:rPr>
        <w:t>MWh</w:t>
      </w:r>
      <w:r w:rsidRPr="00074CC2">
        <w:rPr>
          <w:sz w:val="20"/>
          <w:szCs w:val="20"/>
        </w:rPr>
        <w:t xml:space="preserve"> ο ΕΛΑΠΕ δεν </w:t>
      </w:r>
      <w:r w:rsidR="000E56A6" w:rsidRPr="00074CC2">
        <w:rPr>
          <w:sz w:val="20"/>
          <w:szCs w:val="20"/>
        </w:rPr>
        <w:t>εισέπραξε</w:t>
      </w:r>
      <w:r w:rsidRPr="00074CC2">
        <w:rPr>
          <w:sz w:val="20"/>
          <w:szCs w:val="20"/>
        </w:rPr>
        <w:t xml:space="preserve"> καθόλου έσοδα από την αγορά παρά το ρεύμα που πούλησε). Το επίπεδο κόστους αυτό ανά εγχεόμενη </w:t>
      </w:r>
      <w:r w:rsidRPr="00074CC2">
        <w:rPr>
          <w:sz w:val="20"/>
          <w:szCs w:val="20"/>
          <w:lang w:val="en-US"/>
        </w:rPr>
        <w:t>MWh</w:t>
      </w:r>
      <w:r w:rsidRPr="00074CC2">
        <w:rPr>
          <w:sz w:val="20"/>
          <w:szCs w:val="20"/>
        </w:rPr>
        <w:t xml:space="preserve"> ΑΠΕ του χαρτοφυλακίου του ΔΑΠΕΕΠ καθιστά τον ΕΛΑΠΕ μη βιώσιμο και μάλιστα για </w:t>
      </w:r>
      <w:r w:rsidRPr="007658C6">
        <w:rPr>
          <w:b/>
          <w:bCs/>
          <w:sz w:val="20"/>
          <w:szCs w:val="20"/>
          <w:u w:val="single"/>
        </w:rPr>
        <w:t xml:space="preserve">έργα με ΣΠΗΕ-ΣΕΣΤ που εκ του ν. 4414/2016 και στο πλαίσιο της Ευρωπαϊκής Ενωσιακής νομοθεσίας δεν έχουν καν υποχρεώσεις εξισορρόπησης. </w:t>
      </w:r>
      <w:r w:rsidRPr="00074CC2">
        <w:rPr>
          <w:rFonts w:eastAsia="Times New Roman" w:cstheme="minorHAnsi"/>
          <w:color w:val="222222"/>
          <w:sz w:val="20"/>
          <w:szCs w:val="20"/>
          <w:lang w:eastAsia="el-GR"/>
        </w:rPr>
        <w:t xml:space="preserve"> </w:t>
      </w:r>
    </w:p>
    <w:p w14:paraId="0F6D8CEB" w14:textId="77777777" w:rsidR="00E66073" w:rsidRDefault="00E66073" w:rsidP="00074CC2">
      <w:pPr>
        <w:shd w:val="clear" w:color="auto" w:fill="FFFFFF"/>
        <w:spacing w:after="0" w:line="240" w:lineRule="auto"/>
        <w:ind w:left="426" w:hanging="284"/>
        <w:jc w:val="both"/>
        <w:rPr>
          <w:rFonts w:eastAsia="Times New Roman" w:cstheme="minorHAnsi"/>
          <w:color w:val="222222"/>
          <w:sz w:val="20"/>
          <w:szCs w:val="20"/>
          <w:lang w:eastAsia="el-GR"/>
        </w:rPr>
      </w:pPr>
    </w:p>
    <w:p w14:paraId="5C00EE49" w14:textId="76CF7438" w:rsidR="007658C6" w:rsidRDefault="00E66073"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sidRPr="00074CC2">
        <w:rPr>
          <w:rFonts w:eastAsia="Times New Roman" w:cstheme="minorHAnsi"/>
          <w:color w:val="222222"/>
          <w:sz w:val="20"/>
          <w:szCs w:val="20"/>
          <w:lang w:eastAsia="el-GR"/>
        </w:rPr>
        <w:t xml:space="preserve">Σύμφωνα με τους αναλυτικούς υπολογισμούς μας, την εβδομάδα 7-13/12/20 το </w:t>
      </w:r>
      <w:r w:rsidR="005D49AD" w:rsidRPr="00074CC2">
        <w:rPr>
          <w:rFonts w:eastAsia="Times New Roman" w:cstheme="minorHAnsi"/>
          <w:color w:val="222222"/>
          <w:sz w:val="20"/>
          <w:szCs w:val="20"/>
          <w:lang w:eastAsia="el-GR"/>
        </w:rPr>
        <w:t xml:space="preserve">μοναδιαίο </w:t>
      </w:r>
      <w:r w:rsidRPr="00074CC2">
        <w:rPr>
          <w:rFonts w:eastAsia="Times New Roman" w:cstheme="minorHAnsi"/>
          <w:color w:val="222222"/>
          <w:sz w:val="20"/>
          <w:szCs w:val="20"/>
          <w:lang w:eastAsia="el-GR"/>
        </w:rPr>
        <w:t xml:space="preserve">κόστος Αποκλίσεων του </w:t>
      </w:r>
      <w:r w:rsidR="000E56A6" w:rsidRPr="00074CC2">
        <w:rPr>
          <w:rFonts w:eastAsia="Times New Roman" w:cstheme="minorHAnsi"/>
          <w:color w:val="222222"/>
          <w:sz w:val="20"/>
          <w:szCs w:val="20"/>
          <w:lang w:eastAsia="el-GR"/>
        </w:rPr>
        <w:t>ΕΛΑΠΕ</w:t>
      </w:r>
      <w:r w:rsidRPr="00074CC2">
        <w:rPr>
          <w:rFonts w:eastAsia="Times New Roman" w:cstheme="minorHAnsi"/>
          <w:color w:val="222222"/>
          <w:sz w:val="20"/>
          <w:szCs w:val="20"/>
          <w:lang w:eastAsia="el-GR"/>
        </w:rPr>
        <w:t xml:space="preserve"> που οφείλεται </w:t>
      </w:r>
      <w:r w:rsidR="000E56A6" w:rsidRPr="00074CC2">
        <w:rPr>
          <w:rFonts w:eastAsia="Times New Roman" w:cstheme="minorHAnsi"/>
          <w:color w:val="222222"/>
          <w:sz w:val="20"/>
          <w:szCs w:val="20"/>
          <w:lang w:eastAsia="el-GR"/>
        </w:rPr>
        <w:t>στο τμήμα της</w:t>
      </w:r>
      <w:r w:rsidRPr="00074CC2">
        <w:rPr>
          <w:rFonts w:eastAsia="Times New Roman" w:cstheme="minorHAnsi"/>
          <w:color w:val="222222"/>
          <w:sz w:val="20"/>
          <w:szCs w:val="20"/>
          <w:lang w:eastAsia="el-GR"/>
        </w:rPr>
        <w:t xml:space="preserve"> ευθύνη</w:t>
      </w:r>
      <w:r w:rsidR="000E56A6" w:rsidRPr="00074CC2">
        <w:rPr>
          <w:rFonts w:eastAsia="Times New Roman" w:cstheme="minorHAnsi"/>
          <w:color w:val="222222"/>
          <w:sz w:val="20"/>
          <w:szCs w:val="20"/>
          <w:lang w:eastAsia="el-GR"/>
        </w:rPr>
        <w:t>ς</w:t>
      </w:r>
      <w:r w:rsidRPr="00074CC2">
        <w:rPr>
          <w:rFonts w:eastAsia="Times New Roman" w:cstheme="minorHAnsi"/>
          <w:color w:val="222222"/>
          <w:sz w:val="20"/>
          <w:szCs w:val="20"/>
          <w:lang w:eastAsia="el-GR"/>
        </w:rPr>
        <w:t xml:space="preserve"> εξισορρόπησης </w:t>
      </w:r>
      <w:r w:rsidR="005D49AD" w:rsidRPr="00074CC2">
        <w:rPr>
          <w:rFonts w:eastAsia="Times New Roman" w:cstheme="minorHAnsi"/>
          <w:color w:val="222222"/>
          <w:sz w:val="20"/>
          <w:szCs w:val="20"/>
          <w:lang w:eastAsia="el-GR"/>
        </w:rPr>
        <w:t xml:space="preserve">(δηλαδή στην διαφορά Τιμής Αποκλίσεων από την ΤΕΑ </w:t>
      </w:r>
      <w:r w:rsidR="000E56A6" w:rsidRPr="00074CC2">
        <w:rPr>
          <w:rFonts w:eastAsia="Times New Roman" w:cstheme="minorHAnsi"/>
          <w:color w:val="222222"/>
          <w:sz w:val="20"/>
          <w:szCs w:val="20"/>
          <w:lang w:eastAsia="el-GR"/>
        </w:rPr>
        <w:t xml:space="preserve">της ΑΕΗ </w:t>
      </w:r>
      <w:r w:rsidR="005D49AD" w:rsidRPr="00074CC2">
        <w:rPr>
          <w:rFonts w:eastAsia="Times New Roman" w:cstheme="minorHAnsi"/>
          <w:color w:val="222222"/>
          <w:sz w:val="20"/>
          <w:szCs w:val="20"/>
          <w:lang w:eastAsia="el-GR"/>
        </w:rPr>
        <w:t xml:space="preserve">για την ποσότητα των </w:t>
      </w:r>
      <w:r w:rsidR="005D49AD" w:rsidRPr="00074CC2">
        <w:rPr>
          <w:rFonts w:eastAsia="Times New Roman" w:cstheme="minorHAnsi"/>
          <w:color w:val="222222"/>
          <w:sz w:val="20"/>
          <w:szCs w:val="20"/>
          <w:lang w:val="en-US" w:eastAsia="el-GR"/>
        </w:rPr>
        <w:t>MWh</w:t>
      </w:r>
      <w:r w:rsidR="005D49AD" w:rsidRPr="00074CC2">
        <w:rPr>
          <w:rFonts w:eastAsia="Times New Roman" w:cstheme="minorHAnsi"/>
          <w:color w:val="222222"/>
          <w:sz w:val="20"/>
          <w:szCs w:val="20"/>
          <w:lang w:eastAsia="el-GR"/>
        </w:rPr>
        <w:t xml:space="preserve"> της απόκλισης και όχι για τον αντιλογισμό της υπερδήλωσης/υποδήλωσης στην ΑΕΗ</w:t>
      </w:r>
      <w:r w:rsidR="000E56A6" w:rsidRPr="00074CC2">
        <w:rPr>
          <w:rFonts w:eastAsia="Times New Roman" w:cstheme="minorHAnsi"/>
          <w:color w:val="222222"/>
          <w:sz w:val="20"/>
          <w:szCs w:val="20"/>
          <w:lang w:eastAsia="el-GR"/>
        </w:rPr>
        <w:t xml:space="preserve"> στην αξία της ΤΕΑ</w:t>
      </w:r>
      <w:r w:rsidR="005D49AD" w:rsidRPr="00074CC2">
        <w:rPr>
          <w:rFonts w:eastAsia="Times New Roman" w:cstheme="minorHAnsi"/>
          <w:color w:val="222222"/>
          <w:sz w:val="20"/>
          <w:szCs w:val="20"/>
          <w:lang w:eastAsia="el-GR"/>
        </w:rPr>
        <w:t xml:space="preserve">) </w:t>
      </w:r>
      <w:r w:rsidR="000E56A6" w:rsidRPr="00074CC2">
        <w:rPr>
          <w:rFonts w:eastAsia="Times New Roman" w:cstheme="minorHAnsi"/>
          <w:color w:val="222222"/>
          <w:sz w:val="20"/>
          <w:szCs w:val="20"/>
          <w:lang w:eastAsia="el-GR"/>
        </w:rPr>
        <w:t xml:space="preserve">παρά την αποκλιμάκωση, </w:t>
      </w:r>
      <w:r w:rsidR="005D49AD" w:rsidRPr="00074CC2">
        <w:rPr>
          <w:rFonts w:eastAsia="Times New Roman" w:cstheme="minorHAnsi"/>
          <w:color w:val="222222"/>
          <w:sz w:val="20"/>
          <w:szCs w:val="20"/>
          <w:lang w:eastAsia="el-GR"/>
        </w:rPr>
        <w:t>έφθασε τα 11 ευρώ/</w:t>
      </w:r>
      <w:r w:rsidR="005D49AD" w:rsidRPr="00074CC2">
        <w:rPr>
          <w:rFonts w:eastAsia="Times New Roman" w:cstheme="minorHAnsi"/>
          <w:color w:val="222222"/>
          <w:sz w:val="20"/>
          <w:szCs w:val="20"/>
          <w:lang w:val="en-US" w:eastAsia="el-GR"/>
        </w:rPr>
        <w:t>MWh</w:t>
      </w:r>
      <w:r w:rsidR="00BE7015" w:rsidRPr="00074CC2">
        <w:rPr>
          <w:rFonts w:eastAsia="Times New Roman" w:cstheme="minorHAnsi"/>
          <w:color w:val="222222"/>
          <w:sz w:val="20"/>
          <w:szCs w:val="20"/>
          <w:lang w:eastAsia="el-GR"/>
        </w:rPr>
        <w:t xml:space="preserve"> (ήταν </w:t>
      </w:r>
      <w:r w:rsidR="00586F81">
        <w:rPr>
          <w:rFonts w:eastAsia="Times New Roman" w:cstheme="minorHAnsi"/>
          <w:color w:val="222222"/>
          <w:sz w:val="20"/>
          <w:szCs w:val="20"/>
          <w:lang w:eastAsia="el-GR"/>
        </w:rPr>
        <w:t>~</w:t>
      </w:r>
      <w:r w:rsidR="00BE7015" w:rsidRPr="00074CC2">
        <w:rPr>
          <w:rFonts w:eastAsia="Times New Roman" w:cstheme="minorHAnsi"/>
          <w:color w:val="222222"/>
          <w:sz w:val="20"/>
          <w:szCs w:val="20"/>
          <w:lang w:eastAsia="el-GR"/>
        </w:rPr>
        <w:t>70 ευρώ/</w:t>
      </w:r>
      <w:r w:rsidR="00BE7015" w:rsidRPr="00074CC2">
        <w:rPr>
          <w:rFonts w:eastAsia="Times New Roman" w:cstheme="minorHAnsi"/>
          <w:color w:val="222222"/>
          <w:sz w:val="20"/>
          <w:szCs w:val="20"/>
          <w:lang w:val="en-US" w:eastAsia="el-GR"/>
        </w:rPr>
        <w:t>MWh</w:t>
      </w:r>
      <w:r w:rsidR="00BE7015" w:rsidRPr="00074CC2">
        <w:rPr>
          <w:rFonts w:eastAsia="Times New Roman" w:cstheme="minorHAnsi"/>
          <w:color w:val="222222"/>
          <w:sz w:val="20"/>
          <w:szCs w:val="20"/>
          <w:lang w:eastAsia="el-GR"/>
        </w:rPr>
        <w:t xml:space="preserve"> την εβδομάδα 30/11-6/12)</w:t>
      </w:r>
      <w:r w:rsidR="005D49AD" w:rsidRPr="00074CC2">
        <w:rPr>
          <w:rFonts w:eastAsia="Times New Roman" w:cstheme="minorHAnsi"/>
          <w:color w:val="222222"/>
          <w:sz w:val="20"/>
          <w:szCs w:val="20"/>
          <w:lang w:eastAsia="el-GR"/>
        </w:rPr>
        <w:t>.</w:t>
      </w:r>
      <w:r w:rsidR="000E56A6" w:rsidRPr="00074CC2">
        <w:rPr>
          <w:rFonts w:eastAsia="Times New Roman" w:cstheme="minorHAnsi"/>
          <w:color w:val="222222"/>
          <w:sz w:val="20"/>
          <w:szCs w:val="20"/>
          <w:lang w:eastAsia="el-GR"/>
        </w:rPr>
        <w:t xml:space="preserve">  Για την ίδια εβδομάδα το </w:t>
      </w:r>
      <w:r w:rsidR="007658C6">
        <w:rPr>
          <w:rFonts w:eastAsia="Times New Roman" w:cstheme="minorHAnsi"/>
          <w:color w:val="222222"/>
          <w:sz w:val="20"/>
          <w:szCs w:val="20"/>
          <w:lang w:eastAsia="el-GR"/>
        </w:rPr>
        <w:t xml:space="preserve">μέσο μοναδιαίο </w:t>
      </w:r>
      <w:r w:rsidR="000E56A6" w:rsidRPr="00074CC2">
        <w:rPr>
          <w:rFonts w:eastAsia="Times New Roman" w:cstheme="minorHAnsi"/>
          <w:color w:val="222222"/>
          <w:sz w:val="20"/>
          <w:szCs w:val="20"/>
          <w:lang w:eastAsia="el-GR"/>
        </w:rPr>
        <w:t>κόστος Προσαυξήσεων των Προμηθευτών στον ΛΠ-3 ήταν 4.77 ευρώ/</w:t>
      </w:r>
      <w:r w:rsidR="000E56A6" w:rsidRPr="00074CC2">
        <w:rPr>
          <w:rFonts w:eastAsia="Times New Roman" w:cstheme="minorHAnsi"/>
          <w:color w:val="222222"/>
          <w:sz w:val="20"/>
          <w:szCs w:val="20"/>
          <w:lang w:val="en-US" w:eastAsia="el-GR"/>
        </w:rPr>
        <w:t>MWh</w:t>
      </w:r>
      <w:r w:rsidR="000E56A6" w:rsidRPr="00074CC2">
        <w:rPr>
          <w:rFonts w:eastAsia="Times New Roman" w:cstheme="minorHAnsi"/>
          <w:color w:val="222222"/>
          <w:sz w:val="20"/>
          <w:szCs w:val="20"/>
          <w:lang w:eastAsia="el-GR"/>
        </w:rPr>
        <w:t xml:space="preserve"> ενώ και στους τρεις ΛΠ ήταν συνολικά στα 8.09 ευρώ/</w:t>
      </w:r>
      <w:r w:rsidR="000E56A6" w:rsidRPr="00074CC2">
        <w:rPr>
          <w:rFonts w:eastAsia="Times New Roman" w:cstheme="minorHAnsi"/>
          <w:color w:val="222222"/>
          <w:sz w:val="20"/>
          <w:szCs w:val="20"/>
          <w:lang w:val="en-US" w:eastAsia="el-GR"/>
        </w:rPr>
        <w:t>MWh</w:t>
      </w:r>
      <w:r w:rsidR="00BE7015" w:rsidRPr="00074CC2">
        <w:rPr>
          <w:rFonts w:eastAsia="Times New Roman" w:cstheme="minorHAnsi"/>
          <w:color w:val="222222"/>
          <w:sz w:val="20"/>
          <w:szCs w:val="20"/>
          <w:lang w:eastAsia="el-GR"/>
        </w:rPr>
        <w:t xml:space="preserve"> από 36.37 και 43.37 ευρώ/</w:t>
      </w:r>
      <w:r w:rsidR="00BE7015" w:rsidRPr="00074CC2">
        <w:rPr>
          <w:rFonts w:eastAsia="Times New Roman" w:cstheme="minorHAnsi"/>
          <w:color w:val="222222"/>
          <w:sz w:val="20"/>
          <w:szCs w:val="20"/>
          <w:lang w:val="en-US" w:eastAsia="el-GR"/>
        </w:rPr>
        <w:t>MWh</w:t>
      </w:r>
      <w:r w:rsidR="00BE7015" w:rsidRPr="00074CC2">
        <w:rPr>
          <w:rFonts w:eastAsia="Times New Roman" w:cstheme="minorHAnsi"/>
          <w:color w:val="222222"/>
          <w:sz w:val="20"/>
          <w:szCs w:val="20"/>
          <w:lang w:eastAsia="el-GR"/>
        </w:rPr>
        <w:t xml:space="preserve"> αντίστοιχα την εβδομάδα 30/11-6/12</w:t>
      </w:r>
      <w:r w:rsidR="000E56A6" w:rsidRPr="00074CC2">
        <w:rPr>
          <w:rFonts w:eastAsia="Times New Roman" w:cstheme="minorHAnsi"/>
          <w:color w:val="222222"/>
          <w:sz w:val="20"/>
          <w:szCs w:val="20"/>
          <w:lang w:eastAsia="el-GR"/>
        </w:rPr>
        <w:t xml:space="preserve">. </w:t>
      </w:r>
      <w:r w:rsidR="00BE7015" w:rsidRPr="007658C6">
        <w:rPr>
          <w:rFonts w:eastAsia="Times New Roman" w:cstheme="minorHAnsi"/>
          <w:b/>
          <w:bCs/>
          <w:color w:val="222222"/>
          <w:sz w:val="20"/>
          <w:szCs w:val="20"/>
          <w:u w:val="single"/>
          <w:lang w:eastAsia="el-GR"/>
        </w:rPr>
        <w:t xml:space="preserve">Ο ΕΛΑΠΕ λοιπόν αντιμετωπίζει </w:t>
      </w:r>
      <w:r w:rsidR="007658C6">
        <w:rPr>
          <w:rFonts w:eastAsia="Times New Roman" w:cstheme="minorHAnsi"/>
          <w:b/>
          <w:bCs/>
          <w:color w:val="222222"/>
          <w:sz w:val="20"/>
          <w:szCs w:val="20"/>
          <w:u w:val="single"/>
          <w:lang w:eastAsia="el-GR"/>
        </w:rPr>
        <w:t xml:space="preserve">μάλλον </w:t>
      </w:r>
      <w:r w:rsidR="00BE7015" w:rsidRPr="007658C6">
        <w:rPr>
          <w:rFonts w:eastAsia="Times New Roman" w:cstheme="minorHAnsi"/>
          <w:b/>
          <w:bCs/>
          <w:color w:val="222222"/>
          <w:sz w:val="20"/>
          <w:szCs w:val="20"/>
          <w:u w:val="single"/>
          <w:lang w:eastAsia="el-GR"/>
        </w:rPr>
        <w:t>μεγαλύτερο πρόβλημα από τους Προμηθευτές</w:t>
      </w:r>
      <w:r w:rsidR="00865578">
        <w:rPr>
          <w:rFonts w:eastAsia="Times New Roman" w:cstheme="minorHAnsi"/>
          <w:b/>
          <w:bCs/>
          <w:color w:val="222222"/>
          <w:sz w:val="20"/>
          <w:szCs w:val="20"/>
          <w:u w:val="single"/>
          <w:lang w:eastAsia="el-GR"/>
        </w:rPr>
        <w:t xml:space="preserve"> και επιπλέον δεν δύναται πουθενά να το μετακυλήσει</w:t>
      </w:r>
      <w:r w:rsidR="00BE7015" w:rsidRPr="007658C6">
        <w:rPr>
          <w:rFonts w:eastAsia="Times New Roman" w:cstheme="minorHAnsi"/>
          <w:b/>
          <w:bCs/>
          <w:color w:val="222222"/>
          <w:sz w:val="20"/>
          <w:szCs w:val="20"/>
          <w:u w:val="single"/>
          <w:lang w:eastAsia="el-GR"/>
        </w:rPr>
        <w:t>.</w:t>
      </w:r>
      <w:r w:rsidR="00BE7015" w:rsidRPr="00074CC2">
        <w:rPr>
          <w:rFonts w:eastAsia="Times New Roman" w:cstheme="minorHAnsi"/>
          <w:color w:val="222222"/>
          <w:sz w:val="20"/>
          <w:szCs w:val="20"/>
          <w:lang w:eastAsia="el-GR"/>
        </w:rPr>
        <w:t xml:space="preserve">  </w:t>
      </w:r>
    </w:p>
    <w:p w14:paraId="2AC23F9C" w14:textId="77777777" w:rsidR="007658C6" w:rsidRPr="007658C6" w:rsidRDefault="007658C6" w:rsidP="007658C6">
      <w:pPr>
        <w:pStyle w:val="ListParagraph"/>
        <w:rPr>
          <w:rFonts w:eastAsia="Times New Roman" w:cstheme="minorHAnsi"/>
          <w:color w:val="222222"/>
          <w:sz w:val="20"/>
          <w:szCs w:val="20"/>
          <w:lang w:eastAsia="el-GR"/>
        </w:rPr>
      </w:pPr>
    </w:p>
    <w:p w14:paraId="4EEBE0AF" w14:textId="3AC29AC3" w:rsidR="00D5756D" w:rsidRPr="00074CC2" w:rsidRDefault="009C6AE7"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Έτσι γ</w:t>
      </w:r>
      <w:r w:rsidR="00BE7015" w:rsidRPr="00074CC2">
        <w:rPr>
          <w:rFonts w:eastAsia="Times New Roman" w:cstheme="minorHAnsi"/>
          <w:color w:val="222222"/>
          <w:sz w:val="20"/>
          <w:szCs w:val="20"/>
          <w:lang w:eastAsia="el-GR"/>
        </w:rPr>
        <w:t xml:space="preserve">ια λ.χ. </w:t>
      </w:r>
      <w:r w:rsidR="00D5756D" w:rsidRPr="00074CC2">
        <w:rPr>
          <w:rFonts w:eastAsia="Times New Roman" w:cstheme="minorHAnsi"/>
          <w:color w:val="222222"/>
          <w:sz w:val="20"/>
          <w:szCs w:val="20"/>
          <w:lang w:eastAsia="el-GR"/>
        </w:rPr>
        <w:t>15</w:t>
      </w:r>
      <w:r w:rsidR="00BE7015" w:rsidRPr="00074CC2">
        <w:rPr>
          <w:rFonts w:eastAsia="Times New Roman" w:cstheme="minorHAnsi"/>
          <w:color w:val="222222"/>
          <w:sz w:val="20"/>
          <w:szCs w:val="20"/>
          <w:lang w:eastAsia="el-GR"/>
        </w:rPr>
        <w:t xml:space="preserve"> </w:t>
      </w:r>
      <w:proofErr w:type="spellStart"/>
      <w:r w:rsidR="00BE7015" w:rsidRPr="00074CC2">
        <w:rPr>
          <w:rFonts w:eastAsia="Times New Roman" w:cstheme="minorHAnsi"/>
          <w:color w:val="222222"/>
          <w:sz w:val="20"/>
          <w:szCs w:val="20"/>
          <w:lang w:val="en-US" w:eastAsia="el-GR"/>
        </w:rPr>
        <w:t>TWh</w:t>
      </w:r>
      <w:proofErr w:type="spellEnd"/>
      <w:r w:rsidR="00BE7015" w:rsidRPr="00074CC2">
        <w:rPr>
          <w:rFonts w:eastAsia="Times New Roman" w:cstheme="minorHAnsi"/>
          <w:color w:val="222222"/>
          <w:sz w:val="20"/>
          <w:szCs w:val="20"/>
          <w:lang w:eastAsia="el-GR"/>
        </w:rPr>
        <w:t xml:space="preserve"> από ΑΠΕ με ΣΠΗΕ-ΣΕΣΤ </w:t>
      </w:r>
      <w:r>
        <w:rPr>
          <w:rFonts w:eastAsia="Times New Roman" w:cstheme="minorHAnsi"/>
          <w:color w:val="222222"/>
          <w:sz w:val="20"/>
          <w:szCs w:val="20"/>
          <w:lang w:eastAsia="el-GR"/>
        </w:rPr>
        <w:t xml:space="preserve">ετησίως </w:t>
      </w:r>
      <w:r w:rsidR="00BE7015" w:rsidRPr="00074CC2">
        <w:rPr>
          <w:rFonts w:eastAsia="Times New Roman" w:cstheme="minorHAnsi"/>
          <w:color w:val="222222"/>
          <w:sz w:val="20"/>
          <w:szCs w:val="20"/>
          <w:lang w:eastAsia="el-GR"/>
        </w:rPr>
        <w:t xml:space="preserve">το 2021 στο διασυνδεδεμένο σύστημα </w:t>
      </w:r>
      <w:r w:rsidR="00D5756D" w:rsidRPr="00074CC2">
        <w:rPr>
          <w:rFonts w:eastAsia="Times New Roman" w:cstheme="minorHAnsi"/>
          <w:color w:val="222222"/>
          <w:sz w:val="20"/>
          <w:szCs w:val="20"/>
          <w:lang w:eastAsia="el-GR"/>
        </w:rPr>
        <w:t>τ</w:t>
      </w:r>
      <w:r w:rsidR="00BE7015" w:rsidRPr="00074CC2">
        <w:rPr>
          <w:rFonts w:eastAsia="Times New Roman" w:cstheme="minorHAnsi"/>
          <w:color w:val="222222"/>
          <w:sz w:val="20"/>
          <w:szCs w:val="20"/>
          <w:lang w:eastAsia="el-GR"/>
        </w:rPr>
        <w:t xml:space="preserve">ούτο συνεπάγεται πρόσθετο κόστος Αποκλίσεων λόγω ευθύνης εξισορρόπησης </w:t>
      </w:r>
      <w:r w:rsidR="007658C6">
        <w:rPr>
          <w:rFonts w:eastAsia="Times New Roman" w:cstheme="minorHAnsi"/>
          <w:color w:val="222222"/>
          <w:sz w:val="20"/>
          <w:szCs w:val="20"/>
          <w:lang w:eastAsia="el-GR"/>
        </w:rPr>
        <w:t>(για μοναδιαίο κόστος στα 1</w:t>
      </w:r>
      <w:r w:rsidR="007658C6" w:rsidRPr="007658C6">
        <w:rPr>
          <w:rFonts w:eastAsia="Times New Roman" w:cstheme="minorHAnsi"/>
          <w:color w:val="222222"/>
          <w:sz w:val="20"/>
          <w:szCs w:val="20"/>
          <w:lang w:eastAsia="el-GR"/>
        </w:rPr>
        <w:t>2</w:t>
      </w:r>
      <w:r w:rsidR="007658C6">
        <w:rPr>
          <w:rFonts w:eastAsia="Times New Roman" w:cstheme="minorHAnsi"/>
          <w:color w:val="222222"/>
          <w:sz w:val="20"/>
          <w:szCs w:val="20"/>
          <w:lang w:eastAsia="el-GR"/>
        </w:rPr>
        <w:t xml:space="preserve"> ευρώ/</w:t>
      </w:r>
      <w:proofErr w:type="spellStart"/>
      <w:r w:rsidR="007658C6">
        <w:rPr>
          <w:rFonts w:eastAsia="Times New Roman" w:cstheme="minorHAnsi"/>
          <w:color w:val="222222"/>
          <w:sz w:val="20"/>
          <w:szCs w:val="20"/>
          <w:lang w:val="en-US" w:eastAsia="el-GR"/>
        </w:rPr>
        <w:t>MWh</w:t>
      </w:r>
      <w:proofErr w:type="spellEnd"/>
      <w:r w:rsidR="007658C6" w:rsidRPr="007658C6">
        <w:rPr>
          <w:rFonts w:eastAsia="Times New Roman" w:cstheme="minorHAnsi"/>
          <w:color w:val="222222"/>
          <w:sz w:val="20"/>
          <w:szCs w:val="20"/>
          <w:lang w:eastAsia="el-GR"/>
        </w:rPr>
        <w:t xml:space="preserve">) </w:t>
      </w:r>
      <w:r w:rsidR="00BE7015" w:rsidRPr="00074CC2">
        <w:rPr>
          <w:rFonts w:eastAsia="Times New Roman" w:cstheme="minorHAnsi"/>
          <w:color w:val="222222"/>
          <w:sz w:val="20"/>
          <w:szCs w:val="20"/>
          <w:lang w:eastAsia="el-GR"/>
        </w:rPr>
        <w:t xml:space="preserve">της τάξης των </w:t>
      </w:r>
      <w:r w:rsidR="00D5756D" w:rsidRPr="006E2B47">
        <w:rPr>
          <w:rFonts w:eastAsia="Times New Roman" w:cstheme="minorHAnsi"/>
          <w:b/>
          <w:bCs/>
          <w:color w:val="222222"/>
          <w:sz w:val="20"/>
          <w:szCs w:val="20"/>
          <w:u w:val="single"/>
          <w:lang w:eastAsia="el-GR"/>
        </w:rPr>
        <w:t>1</w:t>
      </w:r>
      <w:r w:rsidR="007658C6" w:rsidRPr="006E2B47">
        <w:rPr>
          <w:rFonts w:eastAsia="Times New Roman" w:cstheme="minorHAnsi"/>
          <w:b/>
          <w:bCs/>
          <w:color w:val="222222"/>
          <w:sz w:val="20"/>
          <w:szCs w:val="20"/>
          <w:u w:val="single"/>
          <w:lang w:eastAsia="el-GR"/>
        </w:rPr>
        <w:t>80</w:t>
      </w:r>
      <w:r w:rsidR="00BE7015" w:rsidRPr="006E2B47">
        <w:rPr>
          <w:rFonts w:eastAsia="Times New Roman" w:cstheme="minorHAnsi"/>
          <w:b/>
          <w:bCs/>
          <w:color w:val="222222"/>
          <w:sz w:val="20"/>
          <w:szCs w:val="20"/>
          <w:u w:val="single"/>
          <w:lang w:eastAsia="el-GR"/>
        </w:rPr>
        <w:t xml:space="preserve"> εκατ. ευρώ</w:t>
      </w:r>
      <w:r w:rsidR="006E2B47" w:rsidRPr="006E2B47">
        <w:rPr>
          <w:rFonts w:eastAsia="Times New Roman" w:cstheme="minorHAnsi"/>
          <w:b/>
          <w:bCs/>
          <w:color w:val="222222"/>
          <w:sz w:val="20"/>
          <w:szCs w:val="20"/>
          <w:u w:val="single"/>
          <w:lang w:eastAsia="el-GR"/>
        </w:rPr>
        <w:t xml:space="preserve"> το χρόνο</w:t>
      </w:r>
      <w:r w:rsidR="00BE7015" w:rsidRPr="006E2B47">
        <w:rPr>
          <w:rFonts w:eastAsia="Times New Roman" w:cstheme="minorHAnsi"/>
          <w:b/>
          <w:bCs/>
          <w:color w:val="222222"/>
          <w:sz w:val="20"/>
          <w:szCs w:val="20"/>
          <w:u w:val="single"/>
          <w:lang w:eastAsia="el-GR"/>
        </w:rPr>
        <w:t>.  Αυτά είναι χρήματα που δεν υπάρχουν</w:t>
      </w:r>
      <w:r w:rsidR="00BE7015" w:rsidRPr="00074CC2">
        <w:rPr>
          <w:rFonts w:eastAsia="Times New Roman" w:cstheme="minorHAnsi"/>
          <w:color w:val="222222"/>
          <w:sz w:val="20"/>
          <w:szCs w:val="20"/>
          <w:lang w:eastAsia="el-GR"/>
        </w:rPr>
        <w:t xml:space="preserve"> και μάλιστα για έργα που εκ του νόμου και της </w:t>
      </w:r>
      <w:r w:rsidR="007658C6">
        <w:rPr>
          <w:rFonts w:eastAsia="Times New Roman" w:cstheme="minorHAnsi"/>
          <w:color w:val="222222"/>
          <w:sz w:val="20"/>
          <w:szCs w:val="20"/>
          <w:lang w:eastAsia="el-GR"/>
        </w:rPr>
        <w:t xml:space="preserve">Ευρωπαϊκής </w:t>
      </w:r>
      <w:r w:rsidR="00BE7015" w:rsidRPr="00074CC2">
        <w:rPr>
          <w:rFonts w:eastAsia="Times New Roman" w:cstheme="minorHAnsi"/>
          <w:color w:val="222222"/>
          <w:sz w:val="20"/>
          <w:szCs w:val="20"/>
          <w:lang w:eastAsia="el-GR"/>
        </w:rPr>
        <w:t xml:space="preserve">Ενωσιακής νομοθεσίας δεν έχουν </w:t>
      </w:r>
      <w:r>
        <w:rPr>
          <w:rFonts w:eastAsia="Times New Roman" w:cstheme="minorHAnsi"/>
          <w:color w:val="222222"/>
          <w:sz w:val="20"/>
          <w:szCs w:val="20"/>
          <w:lang w:eastAsia="el-GR"/>
        </w:rPr>
        <w:t xml:space="preserve">καν </w:t>
      </w:r>
      <w:r w:rsidR="00BE7015" w:rsidRPr="00074CC2">
        <w:rPr>
          <w:rFonts w:eastAsia="Times New Roman" w:cstheme="minorHAnsi"/>
          <w:color w:val="222222"/>
          <w:sz w:val="20"/>
          <w:szCs w:val="20"/>
          <w:lang w:eastAsia="el-GR"/>
        </w:rPr>
        <w:t xml:space="preserve">υποχρεώσεις εξισορρόπησης.  </w:t>
      </w:r>
      <w:r w:rsidR="00D5756D" w:rsidRPr="00074CC2">
        <w:rPr>
          <w:rFonts w:eastAsia="Times New Roman" w:cstheme="minorHAnsi"/>
          <w:color w:val="222222"/>
          <w:sz w:val="20"/>
          <w:szCs w:val="20"/>
          <w:lang w:eastAsia="el-GR"/>
        </w:rPr>
        <w:t xml:space="preserve">Αν μάλιστα εδώ προσθέσουμε </w:t>
      </w:r>
      <w:r w:rsidR="00BE7015" w:rsidRPr="00074CC2">
        <w:rPr>
          <w:rFonts w:eastAsia="Times New Roman" w:cstheme="minorHAnsi"/>
          <w:color w:val="222222"/>
          <w:sz w:val="20"/>
          <w:szCs w:val="20"/>
          <w:lang w:eastAsia="el-GR"/>
        </w:rPr>
        <w:t>και</w:t>
      </w:r>
      <w:r w:rsidR="00D5756D" w:rsidRPr="00074CC2">
        <w:rPr>
          <w:rFonts w:eastAsia="Times New Roman" w:cstheme="minorHAnsi"/>
          <w:color w:val="222222"/>
          <w:sz w:val="20"/>
          <w:szCs w:val="20"/>
          <w:lang w:eastAsia="el-GR"/>
        </w:rPr>
        <w:t xml:space="preserve"> την επιβάρυνση από ευθύνη εξισορρόπησης που μετακυλ</w:t>
      </w:r>
      <w:r>
        <w:rPr>
          <w:rFonts w:eastAsia="Times New Roman" w:cstheme="minorHAnsi"/>
          <w:color w:val="222222"/>
          <w:sz w:val="20"/>
          <w:szCs w:val="20"/>
          <w:lang w:eastAsia="el-GR"/>
        </w:rPr>
        <w:t>ί</w:t>
      </w:r>
      <w:r w:rsidR="00D5756D" w:rsidRPr="00074CC2">
        <w:rPr>
          <w:rFonts w:eastAsia="Times New Roman" w:cstheme="minorHAnsi"/>
          <w:color w:val="222222"/>
          <w:sz w:val="20"/>
          <w:szCs w:val="20"/>
          <w:lang w:eastAsia="el-GR"/>
        </w:rPr>
        <w:t xml:space="preserve">ει </w:t>
      </w:r>
      <w:r w:rsidR="007658C6">
        <w:rPr>
          <w:rFonts w:eastAsia="Times New Roman" w:cstheme="minorHAnsi"/>
          <w:color w:val="222222"/>
          <w:sz w:val="20"/>
          <w:szCs w:val="20"/>
          <w:lang w:eastAsia="el-GR"/>
        </w:rPr>
        <w:t xml:space="preserve">μεταβατικά </w:t>
      </w:r>
      <w:r w:rsidR="00D5756D" w:rsidRPr="00074CC2">
        <w:rPr>
          <w:rFonts w:eastAsia="Times New Roman" w:cstheme="minorHAnsi"/>
          <w:color w:val="222222"/>
          <w:sz w:val="20"/>
          <w:szCs w:val="20"/>
          <w:lang w:eastAsia="el-GR"/>
        </w:rPr>
        <w:t xml:space="preserve">στον ΕΛΑΠΕ ο </w:t>
      </w:r>
      <w:r w:rsidR="00810BC9">
        <w:rPr>
          <w:rFonts w:eastAsia="Times New Roman" w:cstheme="minorHAnsi"/>
          <w:color w:val="222222"/>
          <w:sz w:val="20"/>
          <w:szCs w:val="20"/>
          <w:lang w:eastAsia="el-GR"/>
        </w:rPr>
        <w:t>Μ</w:t>
      </w:r>
      <w:r w:rsidR="00D5756D" w:rsidRPr="00074CC2">
        <w:rPr>
          <w:rFonts w:eastAsia="Times New Roman" w:cstheme="minorHAnsi"/>
          <w:color w:val="222222"/>
          <w:sz w:val="20"/>
          <w:szCs w:val="20"/>
          <w:lang w:eastAsia="el-GR"/>
        </w:rPr>
        <w:t xml:space="preserve">ΜΒΑΠ για τα έργα με ΣΕΔΠ, </w:t>
      </w:r>
      <w:r w:rsidR="00D5756D" w:rsidRPr="006E2B47">
        <w:rPr>
          <w:rFonts w:eastAsia="Times New Roman" w:cstheme="minorHAnsi"/>
          <w:color w:val="222222"/>
          <w:sz w:val="20"/>
          <w:szCs w:val="20"/>
          <w:lang w:eastAsia="el-GR"/>
        </w:rPr>
        <w:t xml:space="preserve">η κατάσταση για τον Λογαριασμό καθίσταται </w:t>
      </w:r>
      <w:r w:rsidR="007658C6" w:rsidRPr="006E2B47">
        <w:rPr>
          <w:rFonts w:eastAsia="Times New Roman" w:cstheme="minorHAnsi"/>
          <w:color w:val="222222"/>
          <w:sz w:val="20"/>
          <w:szCs w:val="20"/>
          <w:lang w:eastAsia="el-GR"/>
        </w:rPr>
        <w:t>μάλλον προβληματική</w:t>
      </w:r>
      <w:r w:rsidR="00D5756D" w:rsidRPr="006E2B47">
        <w:rPr>
          <w:rFonts w:eastAsia="Times New Roman" w:cstheme="minorHAnsi"/>
          <w:color w:val="222222"/>
          <w:sz w:val="20"/>
          <w:szCs w:val="20"/>
          <w:lang w:eastAsia="el-GR"/>
        </w:rPr>
        <w:t xml:space="preserve"> και </w:t>
      </w:r>
      <w:r w:rsidR="007658C6" w:rsidRPr="006E2B47">
        <w:rPr>
          <w:rFonts w:eastAsia="Times New Roman" w:cstheme="minorHAnsi"/>
          <w:color w:val="222222"/>
          <w:sz w:val="20"/>
          <w:szCs w:val="20"/>
          <w:lang w:eastAsia="el-GR"/>
        </w:rPr>
        <w:t>αλυσιτελώς</w:t>
      </w:r>
      <w:r w:rsidR="00D5756D" w:rsidRPr="006E2B47">
        <w:rPr>
          <w:rFonts w:eastAsia="Times New Roman" w:cstheme="minorHAnsi"/>
          <w:color w:val="222222"/>
          <w:sz w:val="20"/>
          <w:szCs w:val="20"/>
          <w:lang w:eastAsia="el-GR"/>
        </w:rPr>
        <w:t xml:space="preserve"> για κάθε επένδυση στις ανανεώσιμες.</w:t>
      </w:r>
      <w:r w:rsidR="00F466FA" w:rsidRPr="006E2B47">
        <w:rPr>
          <w:rFonts w:eastAsia="Times New Roman" w:cstheme="minorHAnsi"/>
          <w:color w:val="222222"/>
          <w:sz w:val="20"/>
          <w:szCs w:val="20"/>
          <w:lang w:eastAsia="el-GR"/>
        </w:rPr>
        <w:t xml:space="preserve"> </w:t>
      </w:r>
      <w:r w:rsidR="00F466FA" w:rsidRPr="00074CC2">
        <w:rPr>
          <w:rFonts w:eastAsia="Times New Roman" w:cstheme="minorHAnsi"/>
          <w:color w:val="222222"/>
          <w:sz w:val="20"/>
          <w:szCs w:val="20"/>
          <w:lang w:eastAsia="el-GR"/>
        </w:rPr>
        <w:t xml:space="preserve"> </w:t>
      </w:r>
      <w:r w:rsidR="007658C6" w:rsidRPr="006E2B47">
        <w:rPr>
          <w:rFonts w:eastAsia="Times New Roman" w:cstheme="minorHAnsi"/>
          <w:b/>
          <w:bCs/>
          <w:color w:val="222222"/>
          <w:sz w:val="20"/>
          <w:szCs w:val="20"/>
          <w:u w:val="single"/>
          <w:lang w:eastAsia="el-GR"/>
        </w:rPr>
        <w:t>Α</w:t>
      </w:r>
      <w:r w:rsidR="00F466FA" w:rsidRPr="006E2B47">
        <w:rPr>
          <w:rFonts w:eastAsia="Times New Roman" w:cstheme="minorHAnsi"/>
          <w:b/>
          <w:bCs/>
          <w:color w:val="222222"/>
          <w:sz w:val="20"/>
          <w:szCs w:val="20"/>
          <w:u w:val="single"/>
          <w:lang w:eastAsia="el-GR"/>
        </w:rPr>
        <w:t xml:space="preserve">δυνατούμε </w:t>
      </w:r>
      <w:r w:rsidR="007658C6" w:rsidRPr="006E2B47">
        <w:rPr>
          <w:rFonts w:eastAsia="Times New Roman" w:cstheme="minorHAnsi"/>
          <w:b/>
          <w:bCs/>
          <w:color w:val="222222"/>
          <w:sz w:val="20"/>
          <w:szCs w:val="20"/>
          <w:u w:val="single"/>
          <w:lang w:eastAsia="el-GR"/>
        </w:rPr>
        <w:t xml:space="preserve">μάλιστα </w:t>
      </w:r>
      <w:r w:rsidR="00F466FA" w:rsidRPr="006E2B47">
        <w:rPr>
          <w:rFonts w:eastAsia="Times New Roman" w:cstheme="minorHAnsi"/>
          <w:b/>
          <w:bCs/>
          <w:color w:val="222222"/>
          <w:sz w:val="20"/>
          <w:szCs w:val="20"/>
          <w:u w:val="single"/>
          <w:lang w:eastAsia="el-GR"/>
        </w:rPr>
        <w:t xml:space="preserve">να </w:t>
      </w:r>
      <w:r w:rsidR="001B5961" w:rsidRPr="006E2B47">
        <w:rPr>
          <w:rFonts w:eastAsia="Times New Roman" w:cstheme="minorHAnsi"/>
          <w:b/>
          <w:bCs/>
          <w:color w:val="222222"/>
          <w:sz w:val="20"/>
          <w:szCs w:val="20"/>
          <w:u w:val="single"/>
          <w:lang w:eastAsia="el-GR"/>
        </w:rPr>
        <w:t>φανταστο</w:t>
      </w:r>
      <w:r w:rsidR="007658C6" w:rsidRPr="006E2B47">
        <w:rPr>
          <w:rFonts w:eastAsia="Times New Roman" w:cstheme="minorHAnsi"/>
          <w:b/>
          <w:bCs/>
          <w:color w:val="222222"/>
          <w:sz w:val="20"/>
          <w:szCs w:val="20"/>
          <w:u w:val="single"/>
          <w:lang w:eastAsia="el-GR"/>
        </w:rPr>
        <w:t>ύ</w:t>
      </w:r>
      <w:r w:rsidR="001B5961" w:rsidRPr="006E2B47">
        <w:rPr>
          <w:rFonts w:eastAsia="Times New Roman" w:cstheme="minorHAnsi"/>
          <w:b/>
          <w:bCs/>
          <w:color w:val="222222"/>
          <w:sz w:val="20"/>
          <w:szCs w:val="20"/>
          <w:u w:val="single"/>
          <w:lang w:eastAsia="el-GR"/>
        </w:rPr>
        <w:t>με</w:t>
      </w:r>
      <w:r w:rsidR="00F466FA" w:rsidRPr="006E2B47">
        <w:rPr>
          <w:rFonts w:eastAsia="Times New Roman" w:cstheme="minorHAnsi"/>
          <w:b/>
          <w:bCs/>
          <w:color w:val="222222"/>
          <w:sz w:val="20"/>
          <w:szCs w:val="20"/>
          <w:u w:val="single"/>
          <w:lang w:eastAsia="el-GR"/>
        </w:rPr>
        <w:t xml:space="preserve"> τ</w:t>
      </w:r>
      <w:r w:rsidR="001B5961" w:rsidRPr="006E2B47">
        <w:rPr>
          <w:rFonts w:eastAsia="Times New Roman" w:cstheme="minorHAnsi"/>
          <w:b/>
          <w:bCs/>
          <w:color w:val="222222"/>
          <w:sz w:val="20"/>
          <w:szCs w:val="20"/>
          <w:u w:val="single"/>
          <w:lang w:eastAsia="el-GR"/>
        </w:rPr>
        <w:t>ι</w:t>
      </w:r>
      <w:r w:rsidR="00F466FA" w:rsidRPr="006E2B47">
        <w:rPr>
          <w:rFonts w:eastAsia="Times New Roman" w:cstheme="minorHAnsi"/>
          <w:b/>
          <w:bCs/>
          <w:color w:val="222222"/>
          <w:sz w:val="20"/>
          <w:szCs w:val="20"/>
          <w:u w:val="single"/>
          <w:lang w:eastAsia="el-GR"/>
        </w:rPr>
        <w:t xml:space="preserve"> θα συμβεί στους παραγωγούς με έργα ΣΕΔΠ όταν εκπνεύσει αρχές του 202</w:t>
      </w:r>
      <w:r w:rsidR="007658C6" w:rsidRPr="006E2B47">
        <w:rPr>
          <w:rFonts w:eastAsia="Times New Roman" w:cstheme="minorHAnsi"/>
          <w:b/>
          <w:bCs/>
          <w:color w:val="222222"/>
          <w:sz w:val="20"/>
          <w:szCs w:val="20"/>
          <w:u w:val="single"/>
          <w:lang w:eastAsia="el-GR"/>
        </w:rPr>
        <w:t>2</w:t>
      </w:r>
      <w:r w:rsidR="00F466FA" w:rsidRPr="006E2B47">
        <w:rPr>
          <w:rFonts w:eastAsia="Times New Roman" w:cstheme="minorHAnsi"/>
          <w:b/>
          <w:bCs/>
          <w:color w:val="222222"/>
          <w:sz w:val="20"/>
          <w:szCs w:val="20"/>
          <w:u w:val="single"/>
          <w:lang w:eastAsia="el-GR"/>
        </w:rPr>
        <w:t xml:space="preserve"> ο </w:t>
      </w:r>
      <w:r w:rsidR="00810BC9">
        <w:rPr>
          <w:rFonts w:eastAsia="Times New Roman" w:cstheme="minorHAnsi"/>
          <w:b/>
          <w:bCs/>
          <w:color w:val="222222"/>
          <w:sz w:val="20"/>
          <w:szCs w:val="20"/>
          <w:u w:val="single"/>
          <w:lang w:eastAsia="el-GR"/>
        </w:rPr>
        <w:t>Μ</w:t>
      </w:r>
      <w:r w:rsidR="00F466FA" w:rsidRPr="006E2B47">
        <w:rPr>
          <w:rFonts w:eastAsia="Times New Roman" w:cstheme="minorHAnsi"/>
          <w:b/>
          <w:bCs/>
          <w:color w:val="222222"/>
          <w:sz w:val="20"/>
          <w:szCs w:val="20"/>
          <w:u w:val="single"/>
          <w:lang w:eastAsia="el-GR"/>
        </w:rPr>
        <w:t xml:space="preserve">ΜΒΑΠ και επωμιστούν </w:t>
      </w:r>
      <w:r w:rsidR="001B5961" w:rsidRPr="006E2B47">
        <w:rPr>
          <w:rFonts w:eastAsia="Times New Roman" w:cstheme="minorHAnsi"/>
          <w:b/>
          <w:bCs/>
          <w:color w:val="222222"/>
          <w:sz w:val="20"/>
          <w:szCs w:val="20"/>
          <w:u w:val="single"/>
          <w:lang w:eastAsia="el-GR"/>
        </w:rPr>
        <w:t xml:space="preserve">μέσω των ΦοΣΕ το </w:t>
      </w:r>
      <w:r>
        <w:rPr>
          <w:rFonts w:eastAsia="Times New Roman" w:cstheme="minorHAnsi"/>
          <w:b/>
          <w:bCs/>
          <w:color w:val="222222"/>
          <w:sz w:val="20"/>
          <w:szCs w:val="20"/>
          <w:u w:val="single"/>
          <w:lang w:eastAsia="el-GR"/>
        </w:rPr>
        <w:t xml:space="preserve">πλήρες </w:t>
      </w:r>
      <w:r w:rsidR="001B5961" w:rsidRPr="006E2B47">
        <w:rPr>
          <w:rFonts w:eastAsia="Times New Roman" w:cstheme="minorHAnsi"/>
          <w:b/>
          <w:bCs/>
          <w:color w:val="222222"/>
          <w:sz w:val="20"/>
          <w:szCs w:val="20"/>
          <w:u w:val="single"/>
          <w:lang w:eastAsia="el-GR"/>
        </w:rPr>
        <w:t>κόστος εξισορρόπησης τους.</w:t>
      </w:r>
      <w:r w:rsidR="001B5961" w:rsidRPr="00074CC2">
        <w:rPr>
          <w:rFonts w:eastAsia="Times New Roman" w:cstheme="minorHAnsi"/>
          <w:color w:val="222222"/>
          <w:sz w:val="20"/>
          <w:szCs w:val="20"/>
          <w:lang w:eastAsia="el-GR"/>
        </w:rPr>
        <w:t xml:space="preserve"> </w:t>
      </w:r>
    </w:p>
    <w:p w14:paraId="0605AF69" w14:textId="23270625" w:rsidR="00D5756D" w:rsidRDefault="00D5756D" w:rsidP="00074CC2">
      <w:pPr>
        <w:shd w:val="clear" w:color="auto" w:fill="FFFFFF"/>
        <w:spacing w:after="0" w:line="240" w:lineRule="auto"/>
        <w:ind w:left="426" w:hanging="284"/>
        <w:jc w:val="both"/>
        <w:rPr>
          <w:rFonts w:eastAsia="Times New Roman" w:cstheme="minorHAnsi"/>
          <w:color w:val="222222"/>
          <w:sz w:val="20"/>
          <w:szCs w:val="20"/>
          <w:lang w:eastAsia="el-GR"/>
        </w:rPr>
      </w:pPr>
    </w:p>
    <w:p w14:paraId="0A067C44" w14:textId="49BEF533" w:rsidR="00D5756D" w:rsidRPr="00074CC2" w:rsidRDefault="00D5756D" w:rsidP="00074CC2">
      <w:pPr>
        <w:pStyle w:val="ListParagraph"/>
        <w:numPr>
          <w:ilvl w:val="0"/>
          <w:numId w:val="42"/>
        </w:numPr>
        <w:spacing w:after="0" w:line="240" w:lineRule="auto"/>
        <w:ind w:left="426" w:hanging="284"/>
        <w:jc w:val="both"/>
        <w:rPr>
          <w:rFonts w:cstheme="minorHAnsi"/>
          <w:sz w:val="20"/>
          <w:szCs w:val="20"/>
        </w:rPr>
      </w:pPr>
      <w:r w:rsidRPr="00074CC2">
        <w:rPr>
          <w:rFonts w:eastAsia="Times New Roman" w:cstheme="minorHAnsi"/>
          <w:color w:val="222222"/>
          <w:sz w:val="20"/>
          <w:szCs w:val="20"/>
          <w:lang w:eastAsia="el-GR"/>
        </w:rPr>
        <w:t xml:space="preserve">Όλα αυτά μάλιστα </w:t>
      </w:r>
      <w:r w:rsidRPr="00074CC2">
        <w:rPr>
          <w:rFonts w:cstheme="minorHAnsi"/>
          <w:sz w:val="20"/>
          <w:szCs w:val="20"/>
        </w:rPr>
        <w:t xml:space="preserve">ενώ γνωρίζαμε ανέκαθεν ότι οι ΑΠΕ είναι στοχαστικές και δεν υπάρχει </w:t>
      </w:r>
      <w:r w:rsidR="00755B13" w:rsidRPr="00074CC2">
        <w:rPr>
          <w:rFonts w:cstheme="minorHAnsi"/>
          <w:sz w:val="20"/>
          <w:szCs w:val="20"/>
        </w:rPr>
        <w:t xml:space="preserve">τώρα </w:t>
      </w:r>
      <w:r w:rsidRPr="00074CC2">
        <w:rPr>
          <w:rFonts w:cstheme="minorHAnsi"/>
          <w:sz w:val="20"/>
          <w:szCs w:val="20"/>
        </w:rPr>
        <w:t xml:space="preserve">λόγος να βάζουμε το «κάρο μπροστά από τα άλογα», θεοποιώντας μέσω των αγορών εξισορρόπησης το εισαγόμενο φυσικό αέριο που τοιουτοτρόπως </w:t>
      </w:r>
      <w:r w:rsidR="005A41BB">
        <w:rPr>
          <w:rFonts w:cstheme="minorHAnsi"/>
          <w:sz w:val="20"/>
          <w:szCs w:val="20"/>
        </w:rPr>
        <w:t xml:space="preserve">νομοτελειακά </w:t>
      </w:r>
      <w:r w:rsidRPr="00074CC2">
        <w:rPr>
          <w:rFonts w:cstheme="minorHAnsi"/>
          <w:sz w:val="20"/>
          <w:szCs w:val="20"/>
        </w:rPr>
        <w:t>θα τις εξοντώσει</w:t>
      </w:r>
      <w:r w:rsidR="005A41BB">
        <w:rPr>
          <w:rFonts w:cstheme="minorHAnsi"/>
          <w:sz w:val="20"/>
          <w:szCs w:val="20"/>
        </w:rPr>
        <w:t xml:space="preserve">, υπό την </w:t>
      </w:r>
      <w:r w:rsidR="00AF1A59">
        <w:rPr>
          <w:rFonts w:cstheme="minorHAnsi"/>
          <w:sz w:val="20"/>
          <w:szCs w:val="20"/>
        </w:rPr>
        <w:t>επι</w:t>
      </w:r>
      <w:r w:rsidR="005A41BB">
        <w:rPr>
          <w:rFonts w:cstheme="minorHAnsi"/>
          <w:sz w:val="20"/>
          <w:szCs w:val="20"/>
        </w:rPr>
        <w:t>φύλαξη ότι σε αυτές δεν θα δραστηριοποιείται κανείς άλλος πλην των καθετοποιημένων συμμετεχόντων</w:t>
      </w:r>
      <w:r w:rsidR="00BD3CFA">
        <w:rPr>
          <w:rFonts w:cstheme="minorHAnsi"/>
          <w:sz w:val="20"/>
          <w:szCs w:val="20"/>
        </w:rPr>
        <w:t xml:space="preserve"> και που θα διατηρούν ισοζυγισμένο μίγμα παραγωγής-προμήθειας</w:t>
      </w:r>
      <w:r w:rsidRPr="00074CC2">
        <w:rPr>
          <w:rFonts w:cstheme="minorHAnsi"/>
          <w:sz w:val="20"/>
          <w:szCs w:val="20"/>
        </w:rPr>
        <w:t>. Δεν υπάρχει καμία λογική οι ΑΠΕ να πληρώνουν ποινές εξισορρόπησης βάσει τιμών αποκλίσεων που είναι προκλητικά μακριά τ</w:t>
      </w:r>
      <w:r w:rsidR="00BD3CFA">
        <w:rPr>
          <w:rFonts w:cstheme="minorHAnsi"/>
          <w:sz w:val="20"/>
          <w:szCs w:val="20"/>
        </w:rPr>
        <w:t>ι</w:t>
      </w:r>
      <w:r w:rsidRPr="00074CC2">
        <w:rPr>
          <w:rFonts w:cstheme="minorHAnsi"/>
          <w:sz w:val="20"/>
          <w:szCs w:val="20"/>
        </w:rPr>
        <w:t xml:space="preserve">ς ΤΕΑ στην Προημερήσια.  </w:t>
      </w:r>
      <w:r w:rsidRPr="00C86ED4">
        <w:rPr>
          <w:rFonts w:cstheme="minorHAnsi"/>
          <w:b/>
          <w:bCs/>
          <w:sz w:val="20"/>
          <w:szCs w:val="20"/>
          <w:u w:val="single"/>
        </w:rPr>
        <w:t xml:space="preserve">Δεν </w:t>
      </w:r>
      <w:r w:rsidR="005A41BB">
        <w:rPr>
          <w:rFonts w:cstheme="minorHAnsi"/>
          <w:b/>
          <w:bCs/>
          <w:sz w:val="20"/>
          <w:szCs w:val="20"/>
          <w:u w:val="single"/>
        </w:rPr>
        <w:t>άλλαξε</w:t>
      </w:r>
      <w:r w:rsidRPr="00C86ED4">
        <w:rPr>
          <w:rFonts w:cstheme="minorHAnsi"/>
          <w:b/>
          <w:bCs/>
          <w:sz w:val="20"/>
          <w:szCs w:val="20"/>
          <w:u w:val="single"/>
        </w:rPr>
        <w:t xml:space="preserve"> </w:t>
      </w:r>
      <w:r w:rsidR="005A41BB">
        <w:rPr>
          <w:rFonts w:cstheme="minorHAnsi"/>
          <w:b/>
          <w:bCs/>
          <w:sz w:val="20"/>
          <w:szCs w:val="20"/>
          <w:u w:val="single"/>
        </w:rPr>
        <w:t>κάτι</w:t>
      </w:r>
      <w:r w:rsidRPr="00C86ED4">
        <w:rPr>
          <w:rFonts w:cstheme="minorHAnsi"/>
          <w:b/>
          <w:bCs/>
          <w:sz w:val="20"/>
          <w:szCs w:val="20"/>
          <w:u w:val="single"/>
        </w:rPr>
        <w:t xml:space="preserve"> σε λιγότερο από 24ώρες στην αγορά ώστε να δικαιολογείται η ίδια μονάδα φυσικού αερίου να τιμολογεί το ρεύμα στην αγορά εξισορρόπησης στα 4,000 ευρώ/</w:t>
      </w:r>
      <w:r w:rsidRPr="00C86ED4">
        <w:rPr>
          <w:rFonts w:cstheme="minorHAnsi"/>
          <w:b/>
          <w:bCs/>
          <w:sz w:val="20"/>
          <w:szCs w:val="20"/>
          <w:u w:val="single"/>
          <w:lang w:val="en-US"/>
        </w:rPr>
        <w:t>MWh</w:t>
      </w:r>
      <w:r w:rsidRPr="00C86ED4">
        <w:rPr>
          <w:rFonts w:cstheme="minorHAnsi"/>
          <w:b/>
          <w:bCs/>
          <w:sz w:val="20"/>
          <w:szCs w:val="20"/>
          <w:u w:val="single"/>
        </w:rPr>
        <w:t>, όταν στην Προημερήσια το προσέφερε προς 60 ευρώ/</w:t>
      </w:r>
      <w:r w:rsidRPr="00C86ED4">
        <w:rPr>
          <w:rFonts w:cstheme="minorHAnsi"/>
          <w:b/>
          <w:bCs/>
          <w:sz w:val="20"/>
          <w:szCs w:val="20"/>
          <w:u w:val="single"/>
          <w:lang w:val="en-US"/>
        </w:rPr>
        <w:t>MWh</w:t>
      </w:r>
      <w:r w:rsidRPr="00C86ED4">
        <w:rPr>
          <w:rFonts w:cstheme="minorHAnsi"/>
          <w:b/>
          <w:bCs/>
          <w:sz w:val="20"/>
          <w:szCs w:val="20"/>
          <w:u w:val="single"/>
        </w:rPr>
        <w:t>.</w:t>
      </w:r>
      <w:r w:rsidRPr="00074CC2">
        <w:rPr>
          <w:rFonts w:cstheme="minorHAnsi"/>
          <w:sz w:val="20"/>
          <w:szCs w:val="20"/>
        </w:rPr>
        <w:t xml:space="preserve">  Το διάστημα από 1/11 που κατά κόρον συνέβη αυτό</w:t>
      </w:r>
      <w:r w:rsidR="00C86ED4">
        <w:rPr>
          <w:rFonts w:cstheme="minorHAnsi"/>
          <w:sz w:val="20"/>
          <w:szCs w:val="20"/>
        </w:rPr>
        <w:t>,</w:t>
      </w:r>
      <w:r w:rsidRPr="00074CC2">
        <w:rPr>
          <w:rFonts w:cstheme="minorHAnsi"/>
          <w:sz w:val="20"/>
          <w:szCs w:val="20"/>
        </w:rPr>
        <w:t xml:space="preserve"> η χώρα </w:t>
      </w:r>
      <w:r w:rsidR="00C86ED4">
        <w:rPr>
          <w:rFonts w:cstheme="minorHAnsi"/>
          <w:sz w:val="20"/>
          <w:szCs w:val="20"/>
        </w:rPr>
        <w:t xml:space="preserve">ούτε </w:t>
      </w:r>
      <w:r w:rsidRPr="00074CC2">
        <w:rPr>
          <w:rFonts w:cstheme="minorHAnsi"/>
          <w:sz w:val="20"/>
          <w:szCs w:val="20"/>
        </w:rPr>
        <w:t>ξέμεινε από αέριο, ούτε πόλεμο είχαμε</w:t>
      </w:r>
      <w:r w:rsidR="005A41BB">
        <w:rPr>
          <w:rFonts w:cstheme="minorHAnsi"/>
          <w:sz w:val="20"/>
          <w:szCs w:val="20"/>
        </w:rPr>
        <w:t>, ούτε κάποια άλλη Θεομηνία</w:t>
      </w:r>
      <w:r w:rsidR="00C86ED4">
        <w:rPr>
          <w:rFonts w:cstheme="minorHAnsi"/>
          <w:sz w:val="20"/>
          <w:szCs w:val="20"/>
        </w:rPr>
        <w:t xml:space="preserve"> που θεωρητικά έστω </w:t>
      </w:r>
      <w:r w:rsidR="005A41BB">
        <w:rPr>
          <w:rFonts w:cstheme="minorHAnsi"/>
          <w:sz w:val="20"/>
          <w:szCs w:val="20"/>
        </w:rPr>
        <w:t>θ</w:t>
      </w:r>
      <w:r w:rsidR="00C86ED4">
        <w:rPr>
          <w:rFonts w:cstheme="minorHAnsi"/>
          <w:sz w:val="20"/>
          <w:szCs w:val="20"/>
        </w:rPr>
        <w:t>α</w:t>
      </w:r>
      <w:r w:rsidR="005A41BB">
        <w:rPr>
          <w:rFonts w:cstheme="minorHAnsi"/>
          <w:sz w:val="20"/>
          <w:szCs w:val="20"/>
        </w:rPr>
        <w:t xml:space="preserve"> μπορούσε </w:t>
      </w:r>
      <w:r w:rsidR="005A41BB">
        <w:rPr>
          <w:rFonts w:cstheme="minorHAnsi"/>
          <w:sz w:val="20"/>
          <w:szCs w:val="20"/>
        </w:rPr>
        <w:lastRenderedPageBreak/>
        <w:t xml:space="preserve">να δικαιολογήσει κάποια από τα </w:t>
      </w:r>
      <w:r w:rsidR="005A41BB">
        <w:rPr>
          <w:rFonts w:cstheme="minorHAnsi"/>
          <w:sz w:val="20"/>
          <w:szCs w:val="20"/>
          <w:lang w:val="en-US"/>
        </w:rPr>
        <w:t>spikes</w:t>
      </w:r>
      <w:r w:rsidR="005A41BB" w:rsidRPr="005A41BB">
        <w:rPr>
          <w:rFonts w:cstheme="minorHAnsi"/>
          <w:sz w:val="20"/>
          <w:szCs w:val="20"/>
        </w:rPr>
        <w:t xml:space="preserve"> </w:t>
      </w:r>
      <w:r w:rsidR="005A41BB">
        <w:rPr>
          <w:rFonts w:cstheme="minorHAnsi"/>
          <w:sz w:val="20"/>
          <w:szCs w:val="20"/>
        </w:rPr>
        <w:t>αυτά</w:t>
      </w:r>
      <w:r w:rsidR="001F2094">
        <w:rPr>
          <w:rFonts w:cstheme="minorHAnsi"/>
          <w:sz w:val="20"/>
          <w:szCs w:val="20"/>
        </w:rPr>
        <w:t xml:space="preserve"> εμφανίστηκε</w:t>
      </w:r>
      <w:r w:rsidR="005A41BB">
        <w:rPr>
          <w:rFonts w:cstheme="minorHAnsi"/>
          <w:sz w:val="20"/>
          <w:szCs w:val="20"/>
        </w:rPr>
        <w:t xml:space="preserve">.  </w:t>
      </w:r>
      <w:r w:rsidRPr="00074CC2">
        <w:rPr>
          <w:rFonts w:cstheme="minorHAnsi"/>
          <w:sz w:val="20"/>
          <w:szCs w:val="20"/>
        </w:rPr>
        <w:t xml:space="preserve">Πρόκειται </w:t>
      </w:r>
      <w:r w:rsidR="005A41BB">
        <w:rPr>
          <w:rFonts w:cstheme="minorHAnsi"/>
          <w:sz w:val="20"/>
          <w:szCs w:val="20"/>
        </w:rPr>
        <w:t xml:space="preserve">λοιπόν καταφανώς </w:t>
      </w:r>
      <w:r w:rsidRPr="00074CC2">
        <w:rPr>
          <w:rFonts w:cstheme="minorHAnsi"/>
          <w:sz w:val="20"/>
          <w:szCs w:val="20"/>
        </w:rPr>
        <w:t>για κερδοσκοπία</w:t>
      </w:r>
      <w:r w:rsidR="008A3511">
        <w:rPr>
          <w:rFonts w:cstheme="minorHAnsi"/>
          <w:sz w:val="20"/>
          <w:szCs w:val="20"/>
        </w:rPr>
        <w:t xml:space="preserve"> στα πλαίσια παντελώς ανώριμων και ρηχών αγορών</w:t>
      </w:r>
      <w:r w:rsidRPr="00074CC2">
        <w:rPr>
          <w:rFonts w:cstheme="minorHAnsi"/>
          <w:sz w:val="20"/>
          <w:szCs w:val="20"/>
        </w:rPr>
        <w:t xml:space="preserve">.      </w:t>
      </w:r>
    </w:p>
    <w:p w14:paraId="2B23795B" w14:textId="35D9EF21" w:rsidR="00D5756D" w:rsidRDefault="00D5756D" w:rsidP="00074CC2">
      <w:pPr>
        <w:shd w:val="clear" w:color="auto" w:fill="FFFFFF"/>
        <w:spacing w:after="0" w:line="240" w:lineRule="auto"/>
        <w:ind w:left="426" w:hanging="284"/>
        <w:jc w:val="both"/>
        <w:rPr>
          <w:rFonts w:eastAsia="Times New Roman" w:cstheme="minorHAnsi"/>
          <w:color w:val="222222"/>
          <w:sz w:val="20"/>
          <w:szCs w:val="20"/>
          <w:lang w:eastAsia="el-GR"/>
        </w:rPr>
      </w:pPr>
    </w:p>
    <w:p w14:paraId="2416401A" w14:textId="55A02C79" w:rsidR="00BE6306" w:rsidRDefault="007801B2"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Επιγραμματικά να αναφέρουμε </w:t>
      </w:r>
      <w:r w:rsidR="003141FA">
        <w:rPr>
          <w:rFonts w:eastAsia="Times New Roman" w:cstheme="minorHAnsi"/>
          <w:color w:val="222222"/>
          <w:sz w:val="20"/>
          <w:szCs w:val="20"/>
          <w:lang w:eastAsia="el-GR"/>
        </w:rPr>
        <w:t xml:space="preserve">πως </w:t>
      </w:r>
      <w:r w:rsidR="00BE6306">
        <w:rPr>
          <w:rFonts w:eastAsia="Times New Roman" w:cstheme="minorHAnsi"/>
          <w:color w:val="222222"/>
          <w:sz w:val="20"/>
          <w:szCs w:val="20"/>
          <w:lang w:eastAsia="el-GR"/>
        </w:rPr>
        <w:t xml:space="preserve">σωρευτικά </w:t>
      </w:r>
      <w:r w:rsidR="003141FA">
        <w:rPr>
          <w:rFonts w:eastAsia="Times New Roman" w:cstheme="minorHAnsi"/>
          <w:color w:val="222222"/>
          <w:sz w:val="20"/>
          <w:szCs w:val="20"/>
          <w:lang w:eastAsia="el-GR"/>
        </w:rPr>
        <w:t>για το διάστημα από 1/11 έως 13/12/20 από τα επίσημα στοιχεία του ΑΔΜΗΕ προκύπτει πως έχουν δαπανηθεί 10</w:t>
      </w:r>
      <w:r w:rsidR="00BE6306">
        <w:rPr>
          <w:rFonts w:eastAsia="Times New Roman" w:cstheme="minorHAnsi"/>
          <w:color w:val="222222"/>
          <w:sz w:val="20"/>
          <w:szCs w:val="20"/>
          <w:lang w:eastAsia="el-GR"/>
        </w:rPr>
        <w:t>9</w:t>
      </w:r>
      <w:r w:rsidR="003141FA">
        <w:rPr>
          <w:rFonts w:eastAsia="Times New Roman" w:cstheme="minorHAnsi"/>
          <w:color w:val="222222"/>
          <w:sz w:val="20"/>
          <w:szCs w:val="20"/>
          <w:lang w:eastAsia="el-GR"/>
        </w:rPr>
        <w:t xml:space="preserve"> εκατ. ευρώ για 464 </w:t>
      </w:r>
      <w:r w:rsidR="003141FA">
        <w:rPr>
          <w:rFonts w:eastAsia="Times New Roman" w:cstheme="minorHAnsi"/>
          <w:color w:val="222222"/>
          <w:sz w:val="20"/>
          <w:szCs w:val="20"/>
          <w:lang w:val="en-US" w:eastAsia="el-GR"/>
        </w:rPr>
        <w:t>GWh</w:t>
      </w:r>
      <w:r w:rsidR="003141FA" w:rsidRPr="003141FA">
        <w:rPr>
          <w:rFonts w:eastAsia="Times New Roman" w:cstheme="minorHAnsi"/>
          <w:color w:val="222222"/>
          <w:sz w:val="20"/>
          <w:szCs w:val="20"/>
          <w:lang w:eastAsia="el-GR"/>
        </w:rPr>
        <w:t xml:space="preserve"> </w:t>
      </w:r>
      <w:r w:rsidR="003141FA" w:rsidRPr="00322E68">
        <w:rPr>
          <w:rFonts w:eastAsia="Times New Roman" w:cstheme="minorHAnsi"/>
          <w:b/>
          <w:bCs/>
          <w:color w:val="222222"/>
          <w:sz w:val="20"/>
          <w:szCs w:val="20"/>
          <w:u w:val="single"/>
          <w:lang w:eastAsia="el-GR"/>
        </w:rPr>
        <w:t>Ανοδικής Ενέργειας Εξισορρόπησης</w:t>
      </w:r>
      <w:r w:rsidR="00BE6306" w:rsidRPr="00322E68">
        <w:rPr>
          <w:rFonts w:eastAsia="Times New Roman" w:cstheme="minorHAnsi"/>
          <w:b/>
          <w:bCs/>
          <w:color w:val="222222"/>
          <w:sz w:val="20"/>
          <w:szCs w:val="20"/>
          <w:u w:val="single"/>
          <w:lang w:eastAsia="el-GR"/>
        </w:rPr>
        <w:t>,</w:t>
      </w:r>
      <w:r w:rsidR="003141FA" w:rsidRPr="00322E68">
        <w:rPr>
          <w:rFonts w:eastAsia="Times New Roman" w:cstheme="minorHAnsi"/>
          <w:b/>
          <w:bCs/>
          <w:color w:val="222222"/>
          <w:sz w:val="20"/>
          <w:szCs w:val="20"/>
          <w:u w:val="single"/>
          <w:lang w:eastAsia="el-GR"/>
        </w:rPr>
        <w:t xml:space="preserve"> δηλαδή </w:t>
      </w:r>
      <w:r w:rsidR="00482AD6">
        <w:rPr>
          <w:rFonts w:eastAsia="Times New Roman" w:cstheme="minorHAnsi"/>
          <w:b/>
          <w:bCs/>
          <w:color w:val="222222"/>
          <w:sz w:val="20"/>
          <w:szCs w:val="20"/>
          <w:u w:val="single"/>
          <w:lang w:eastAsia="el-GR"/>
        </w:rPr>
        <w:t>μεσοσταθμικά</w:t>
      </w:r>
      <w:r w:rsidR="003141FA" w:rsidRPr="00322E68">
        <w:rPr>
          <w:rFonts w:eastAsia="Times New Roman" w:cstheme="minorHAnsi"/>
          <w:b/>
          <w:bCs/>
          <w:color w:val="222222"/>
          <w:sz w:val="20"/>
          <w:szCs w:val="20"/>
          <w:u w:val="single"/>
          <w:lang w:eastAsia="el-GR"/>
        </w:rPr>
        <w:t xml:space="preserve"> έχει </w:t>
      </w:r>
      <w:r w:rsidR="00BE6306" w:rsidRPr="00322E68">
        <w:rPr>
          <w:rFonts w:eastAsia="Times New Roman" w:cstheme="minorHAnsi"/>
          <w:b/>
          <w:bCs/>
          <w:color w:val="222222"/>
          <w:sz w:val="20"/>
          <w:szCs w:val="20"/>
          <w:u w:val="single"/>
          <w:lang w:eastAsia="el-GR"/>
        </w:rPr>
        <w:t xml:space="preserve">αυτή </w:t>
      </w:r>
      <w:r w:rsidR="003141FA" w:rsidRPr="00322E68">
        <w:rPr>
          <w:rFonts w:eastAsia="Times New Roman" w:cstheme="minorHAnsi"/>
          <w:b/>
          <w:bCs/>
          <w:color w:val="222222"/>
          <w:sz w:val="20"/>
          <w:szCs w:val="20"/>
          <w:u w:val="single"/>
          <w:lang w:eastAsia="el-GR"/>
        </w:rPr>
        <w:t>αποζημιωθεί προς 233 ευρώ/</w:t>
      </w:r>
      <w:r w:rsidR="003141FA" w:rsidRPr="00322E68">
        <w:rPr>
          <w:rFonts w:eastAsia="Times New Roman" w:cstheme="minorHAnsi"/>
          <w:b/>
          <w:bCs/>
          <w:color w:val="222222"/>
          <w:sz w:val="20"/>
          <w:szCs w:val="20"/>
          <w:u w:val="single"/>
          <w:lang w:val="en-US" w:eastAsia="el-GR"/>
        </w:rPr>
        <w:t>MWh</w:t>
      </w:r>
      <w:r w:rsidR="003141FA" w:rsidRPr="00322E68">
        <w:rPr>
          <w:rFonts w:eastAsia="Times New Roman" w:cstheme="minorHAnsi"/>
          <w:b/>
          <w:bCs/>
          <w:color w:val="222222"/>
          <w:sz w:val="20"/>
          <w:szCs w:val="20"/>
          <w:u w:val="single"/>
          <w:lang w:eastAsia="el-GR"/>
        </w:rPr>
        <w:t>.</w:t>
      </w:r>
      <w:r w:rsidR="003141FA" w:rsidRPr="003141FA">
        <w:rPr>
          <w:rFonts w:eastAsia="Times New Roman" w:cstheme="minorHAnsi"/>
          <w:color w:val="222222"/>
          <w:sz w:val="20"/>
          <w:szCs w:val="20"/>
          <w:lang w:eastAsia="el-GR"/>
        </w:rPr>
        <w:t xml:space="preserve">  </w:t>
      </w:r>
    </w:p>
    <w:p w14:paraId="6B1D94C8" w14:textId="77777777" w:rsidR="00BE6306" w:rsidRDefault="00BE6306" w:rsidP="00074CC2">
      <w:pPr>
        <w:pStyle w:val="ListParagraph"/>
        <w:shd w:val="clear" w:color="auto" w:fill="FFFFFF"/>
        <w:spacing w:after="0" w:line="240" w:lineRule="auto"/>
        <w:ind w:left="426" w:hanging="284"/>
        <w:jc w:val="both"/>
        <w:rPr>
          <w:rFonts w:eastAsia="Times New Roman" w:cstheme="minorHAnsi"/>
          <w:color w:val="222222"/>
          <w:sz w:val="20"/>
          <w:szCs w:val="20"/>
          <w:lang w:eastAsia="el-GR"/>
        </w:rPr>
      </w:pPr>
    </w:p>
    <w:p w14:paraId="3453F57C" w14:textId="5148182E" w:rsidR="00BE6306" w:rsidRDefault="003141FA"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Σε ότι αφορά την </w:t>
      </w:r>
      <w:r w:rsidRPr="00322E68">
        <w:rPr>
          <w:rFonts w:eastAsia="Times New Roman" w:cstheme="minorHAnsi"/>
          <w:b/>
          <w:bCs/>
          <w:color w:val="222222"/>
          <w:sz w:val="20"/>
          <w:szCs w:val="20"/>
          <w:u w:val="single"/>
          <w:lang w:eastAsia="el-GR"/>
        </w:rPr>
        <w:t>Καθοδική Ενέργεια Εξισορρόπησης</w:t>
      </w:r>
      <w:r w:rsidR="00BE6306">
        <w:rPr>
          <w:rFonts w:eastAsia="Times New Roman" w:cstheme="minorHAnsi"/>
          <w:color w:val="222222"/>
          <w:sz w:val="20"/>
          <w:szCs w:val="20"/>
          <w:lang w:eastAsia="el-GR"/>
        </w:rPr>
        <w:t>,</w:t>
      </w:r>
      <w:r>
        <w:rPr>
          <w:rFonts w:eastAsia="Times New Roman" w:cstheme="minorHAnsi"/>
          <w:color w:val="222222"/>
          <w:sz w:val="20"/>
          <w:szCs w:val="20"/>
          <w:lang w:eastAsia="el-GR"/>
        </w:rPr>
        <w:t xml:space="preserve"> για το ίδιο διάστημα έχουν δαπανηθεί </w:t>
      </w:r>
      <w:r w:rsidR="00BE6306">
        <w:rPr>
          <w:rFonts w:eastAsia="Times New Roman" w:cstheme="minorHAnsi"/>
          <w:color w:val="222222"/>
          <w:sz w:val="20"/>
          <w:szCs w:val="20"/>
          <w:lang w:eastAsia="el-GR"/>
        </w:rPr>
        <w:t xml:space="preserve">21 εκατ. ευρώ για μη έγχυση 467 </w:t>
      </w:r>
      <w:r w:rsidR="00BE6306">
        <w:rPr>
          <w:rFonts w:eastAsia="Times New Roman" w:cstheme="minorHAnsi"/>
          <w:color w:val="222222"/>
          <w:sz w:val="20"/>
          <w:szCs w:val="20"/>
          <w:lang w:val="en-US" w:eastAsia="el-GR"/>
        </w:rPr>
        <w:t>GWh</w:t>
      </w:r>
      <w:r w:rsidR="00BE6306" w:rsidRPr="00BE6306">
        <w:rPr>
          <w:rFonts w:eastAsia="Times New Roman" w:cstheme="minorHAnsi"/>
          <w:color w:val="222222"/>
          <w:sz w:val="20"/>
          <w:szCs w:val="20"/>
          <w:lang w:eastAsia="el-GR"/>
        </w:rPr>
        <w:t xml:space="preserve">, </w:t>
      </w:r>
      <w:r w:rsidR="00BE6306">
        <w:rPr>
          <w:rFonts w:eastAsia="Times New Roman" w:cstheme="minorHAnsi"/>
          <w:color w:val="222222"/>
          <w:sz w:val="20"/>
          <w:szCs w:val="20"/>
          <w:lang w:eastAsia="el-GR"/>
        </w:rPr>
        <w:t xml:space="preserve">δηλαδή οι πάροχοι τέτοιων υπηρεσιών (μονάδες φυσικού αερίου) πληρώθηκαν πέραν των όσων είχαν προπληρωθεί στην ΑΕΗ για την προγραμματισθείσα έγχυση τους, </w:t>
      </w:r>
      <w:r w:rsidR="00482AD6">
        <w:rPr>
          <w:rFonts w:eastAsia="Times New Roman" w:cstheme="minorHAnsi"/>
          <w:color w:val="222222"/>
          <w:sz w:val="20"/>
          <w:szCs w:val="20"/>
          <w:lang w:eastAsia="el-GR"/>
        </w:rPr>
        <w:t xml:space="preserve">μεσοσταθμικά </w:t>
      </w:r>
      <w:r w:rsidR="00BE6306" w:rsidRPr="00322E68">
        <w:rPr>
          <w:rFonts w:eastAsia="Times New Roman" w:cstheme="minorHAnsi"/>
          <w:b/>
          <w:bCs/>
          <w:color w:val="222222"/>
          <w:sz w:val="20"/>
          <w:szCs w:val="20"/>
          <w:u w:val="single"/>
          <w:lang w:eastAsia="el-GR"/>
        </w:rPr>
        <w:t>επιπλέον 44 ευρώ/</w:t>
      </w:r>
      <w:r w:rsidR="00BE6306" w:rsidRPr="00322E68">
        <w:rPr>
          <w:rFonts w:eastAsia="Times New Roman" w:cstheme="minorHAnsi"/>
          <w:b/>
          <w:bCs/>
          <w:color w:val="222222"/>
          <w:sz w:val="20"/>
          <w:szCs w:val="20"/>
          <w:u w:val="single"/>
          <w:lang w:val="en-US" w:eastAsia="el-GR"/>
        </w:rPr>
        <w:t>MWh</w:t>
      </w:r>
      <w:r w:rsidR="00BE6306" w:rsidRPr="00322E68">
        <w:rPr>
          <w:rFonts w:eastAsia="Times New Roman" w:cstheme="minorHAnsi"/>
          <w:b/>
          <w:bCs/>
          <w:color w:val="222222"/>
          <w:sz w:val="20"/>
          <w:szCs w:val="20"/>
          <w:u w:val="single"/>
          <w:lang w:eastAsia="el-GR"/>
        </w:rPr>
        <w:t xml:space="preserve"> ώστε να μην τελικώς παράξουν τις </w:t>
      </w:r>
      <w:r w:rsidR="00BE6306" w:rsidRPr="00322E68">
        <w:rPr>
          <w:rFonts w:eastAsia="Times New Roman" w:cstheme="minorHAnsi"/>
          <w:b/>
          <w:bCs/>
          <w:color w:val="222222"/>
          <w:sz w:val="20"/>
          <w:szCs w:val="20"/>
          <w:u w:val="single"/>
          <w:lang w:val="en-US" w:eastAsia="el-GR"/>
        </w:rPr>
        <w:t>GWh</w:t>
      </w:r>
      <w:r w:rsidR="00BE6306" w:rsidRPr="00322E68">
        <w:rPr>
          <w:rFonts w:eastAsia="Times New Roman" w:cstheme="minorHAnsi"/>
          <w:b/>
          <w:bCs/>
          <w:color w:val="222222"/>
          <w:sz w:val="20"/>
          <w:szCs w:val="20"/>
          <w:u w:val="single"/>
          <w:lang w:eastAsia="el-GR"/>
        </w:rPr>
        <w:t xml:space="preserve"> αυτές</w:t>
      </w:r>
      <w:r w:rsidR="00BE6306">
        <w:rPr>
          <w:rFonts w:eastAsia="Times New Roman" w:cstheme="minorHAnsi"/>
          <w:color w:val="222222"/>
          <w:sz w:val="20"/>
          <w:szCs w:val="20"/>
          <w:lang w:eastAsia="el-GR"/>
        </w:rPr>
        <w:t xml:space="preserve">.  </w:t>
      </w:r>
    </w:p>
    <w:p w14:paraId="7A6723E7" w14:textId="77777777" w:rsidR="00BE6306" w:rsidRDefault="00BE6306" w:rsidP="00074CC2">
      <w:pPr>
        <w:pStyle w:val="ListParagraph"/>
        <w:shd w:val="clear" w:color="auto" w:fill="FFFFFF"/>
        <w:spacing w:after="0" w:line="240" w:lineRule="auto"/>
        <w:ind w:left="426" w:hanging="284"/>
        <w:jc w:val="both"/>
        <w:rPr>
          <w:rFonts w:eastAsia="Times New Roman" w:cstheme="minorHAnsi"/>
          <w:color w:val="222222"/>
          <w:sz w:val="20"/>
          <w:szCs w:val="20"/>
          <w:lang w:eastAsia="el-GR"/>
        </w:rPr>
      </w:pPr>
    </w:p>
    <w:p w14:paraId="07340D0A" w14:textId="7F6203C7" w:rsidR="00E21CA9" w:rsidRDefault="00BE6306"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Συνολικά λοιπόν </w:t>
      </w:r>
      <w:r w:rsidR="00690648" w:rsidRPr="003B3620">
        <w:rPr>
          <w:rFonts w:eastAsia="Times New Roman" w:cstheme="minorHAnsi"/>
          <w:b/>
          <w:bCs/>
          <w:color w:val="222222"/>
          <w:sz w:val="20"/>
          <w:szCs w:val="20"/>
          <w:u w:val="single"/>
          <w:lang w:eastAsia="el-GR"/>
        </w:rPr>
        <w:t>σε</w:t>
      </w:r>
      <w:r w:rsidRPr="003B3620">
        <w:rPr>
          <w:rFonts w:eastAsia="Times New Roman" w:cstheme="minorHAnsi"/>
          <w:b/>
          <w:bCs/>
          <w:color w:val="222222"/>
          <w:sz w:val="20"/>
          <w:szCs w:val="20"/>
          <w:u w:val="single"/>
          <w:lang w:eastAsia="el-GR"/>
        </w:rPr>
        <w:t xml:space="preserve"> 43 ημέρες δαπανήθηκαν στην αγορά Ενέργειας Εξισορρόπησης επιπλέον 130 εκατ. ευρώ για 3 </w:t>
      </w:r>
      <w:r w:rsidRPr="003B3620">
        <w:rPr>
          <w:rFonts w:eastAsia="Times New Roman" w:cstheme="minorHAnsi"/>
          <w:b/>
          <w:bCs/>
          <w:color w:val="222222"/>
          <w:sz w:val="20"/>
          <w:szCs w:val="20"/>
          <w:u w:val="single"/>
          <w:lang w:val="en-US" w:eastAsia="el-GR"/>
        </w:rPr>
        <w:t>GWh</w:t>
      </w:r>
      <w:r w:rsidRPr="003B3620">
        <w:rPr>
          <w:rFonts w:eastAsia="Times New Roman" w:cstheme="minorHAnsi"/>
          <w:b/>
          <w:bCs/>
          <w:color w:val="222222"/>
          <w:sz w:val="20"/>
          <w:szCs w:val="20"/>
          <w:u w:val="single"/>
          <w:lang w:eastAsia="el-GR"/>
        </w:rPr>
        <w:t xml:space="preserve"> λιγότερη ενέργεια </w:t>
      </w:r>
      <w:r w:rsidR="00690648" w:rsidRPr="003B3620">
        <w:rPr>
          <w:rFonts w:eastAsia="Times New Roman" w:cstheme="minorHAnsi"/>
          <w:b/>
          <w:bCs/>
          <w:color w:val="222222"/>
          <w:sz w:val="20"/>
          <w:szCs w:val="20"/>
          <w:u w:val="single"/>
          <w:lang w:eastAsia="el-GR"/>
        </w:rPr>
        <w:t>συγκριτικά με</w:t>
      </w:r>
      <w:r w:rsidRPr="003B3620">
        <w:rPr>
          <w:rFonts w:eastAsia="Times New Roman" w:cstheme="minorHAnsi"/>
          <w:b/>
          <w:bCs/>
          <w:color w:val="222222"/>
          <w:sz w:val="20"/>
          <w:szCs w:val="20"/>
          <w:u w:val="single"/>
          <w:lang w:eastAsia="el-GR"/>
        </w:rPr>
        <w:t xml:space="preserve"> όση είχε προγραμματιστεί να παραχθεί και προπληρωθεί-εξοφληθεί στις ΑΕΗ.</w:t>
      </w:r>
      <w:r>
        <w:rPr>
          <w:rFonts w:eastAsia="Times New Roman" w:cstheme="minorHAnsi"/>
          <w:color w:val="222222"/>
          <w:sz w:val="20"/>
          <w:szCs w:val="20"/>
          <w:lang w:eastAsia="el-GR"/>
        </w:rPr>
        <w:t xml:space="preserve">  Όλα τα προηγούμενα χρόνια πριν τη</w:t>
      </w:r>
      <w:r w:rsidR="00690648">
        <w:rPr>
          <w:rFonts w:eastAsia="Times New Roman" w:cstheme="minorHAnsi"/>
          <w:color w:val="222222"/>
          <w:sz w:val="20"/>
          <w:szCs w:val="20"/>
          <w:lang w:eastAsia="el-GR"/>
        </w:rPr>
        <w:t>ν</w:t>
      </w:r>
      <w:r>
        <w:rPr>
          <w:rFonts w:eastAsia="Times New Roman" w:cstheme="minorHAnsi"/>
          <w:color w:val="222222"/>
          <w:sz w:val="20"/>
          <w:szCs w:val="20"/>
          <w:lang w:eastAsia="el-GR"/>
        </w:rPr>
        <w:t xml:space="preserve"> έναρξη του </w:t>
      </w:r>
      <w:r>
        <w:rPr>
          <w:rFonts w:eastAsia="Times New Roman" w:cstheme="minorHAnsi"/>
          <w:color w:val="222222"/>
          <w:sz w:val="20"/>
          <w:szCs w:val="20"/>
          <w:lang w:val="en-US" w:eastAsia="el-GR"/>
        </w:rPr>
        <w:t>Target</w:t>
      </w:r>
      <w:r w:rsidRPr="00BE6306">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Model</w:t>
      </w:r>
      <w:r w:rsidRPr="00BE6306">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το κόστος για την εξισορρόπηση του συστήματος δεν υπερέβαινε τα 200 εκατ. ευρώ ετησίως.  Αν μάλιστα στη νέα πραγματικότητα των δαπανών για Ενέργεια Εξισορρόπησης αθροίσει κανείς και τ</w:t>
      </w:r>
      <w:r w:rsidR="00690648">
        <w:rPr>
          <w:rFonts w:eastAsia="Times New Roman" w:cstheme="minorHAnsi"/>
          <w:color w:val="222222"/>
          <w:sz w:val="20"/>
          <w:szCs w:val="20"/>
          <w:lang w:eastAsia="el-GR"/>
        </w:rPr>
        <w:t>ις</w:t>
      </w:r>
      <w:r>
        <w:rPr>
          <w:rFonts w:eastAsia="Times New Roman" w:cstheme="minorHAnsi"/>
          <w:color w:val="222222"/>
          <w:sz w:val="20"/>
          <w:szCs w:val="20"/>
          <w:lang w:eastAsia="el-GR"/>
        </w:rPr>
        <w:t xml:space="preserve"> δαπάνες για Ισχύ Εξισορρόπησης, το κόστος των 43 ημερών από 1/11 φθάνει τα 140 εκατ. ευρώ.</w:t>
      </w:r>
    </w:p>
    <w:p w14:paraId="5C471FDA" w14:textId="2F9DC69D" w:rsidR="00BE6306" w:rsidRDefault="00BE6306" w:rsidP="00074CC2">
      <w:pPr>
        <w:pStyle w:val="ListParagraph"/>
        <w:shd w:val="clear" w:color="auto" w:fill="FFFFFF"/>
        <w:spacing w:after="0" w:line="240" w:lineRule="auto"/>
        <w:ind w:left="426" w:hanging="284"/>
        <w:jc w:val="both"/>
        <w:rPr>
          <w:rFonts w:eastAsia="Times New Roman" w:cstheme="minorHAnsi"/>
          <w:color w:val="222222"/>
          <w:sz w:val="20"/>
          <w:szCs w:val="20"/>
          <w:lang w:eastAsia="el-GR"/>
        </w:rPr>
      </w:pPr>
    </w:p>
    <w:p w14:paraId="52D93566" w14:textId="05C08CF5" w:rsidR="00BE6306" w:rsidRDefault="00BE6306"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Κύρι</w:t>
      </w:r>
      <w:r w:rsidR="00317733">
        <w:rPr>
          <w:rFonts w:eastAsia="Times New Roman" w:cstheme="minorHAnsi"/>
          <w:color w:val="222222"/>
          <w:sz w:val="20"/>
          <w:szCs w:val="20"/>
          <w:lang w:eastAsia="el-GR"/>
        </w:rPr>
        <w:t>ες</w:t>
      </w:r>
      <w:r>
        <w:rPr>
          <w:rFonts w:eastAsia="Times New Roman" w:cstheme="minorHAnsi"/>
          <w:color w:val="222222"/>
          <w:sz w:val="20"/>
          <w:szCs w:val="20"/>
          <w:lang w:eastAsia="el-GR"/>
        </w:rPr>
        <w:t xml:space="preserve"> αιτί</w:t>
      </w:r>
      <w:r w:rsidR="00317733">
        <w:rPr>
          <w:rFonts w:eastAsia="Times New Roman" w:cstheme="minorHAnsi"/>
          <w:color w:val="222222"/>
          <w:sz w:val="20"/>
          <w:szCs w:val="20"/>
          <w:lang w:eastAsia="el-GR"/>
        </w:rPr>
        <w:t>ες</w:t>
      </w:r>
      <w:r>
        <w:rPr>
          <w:rFonts w:eastAsia="Times New Roman" w:cstheme="minorHAnsi"/>
          <w:color w:val="222222"/>
          <w:sz w:val="20"/>
          <w:szCs w:val="20"/>
          <w:lang w:eastAsia="el-GR"/>
        </w:rPr>
        <w:t xml:space="preserve"> </w:t>
      </w:r>
      <w:r w:rsidR="00317733">
        <w:rPr>
          <w:rFonts w:eastAsia="Times New Roman" w:cstheme="minorHAnsi"/>
          <w:color w:val="222222"/>
          <w:sz w:val="20"/>
          <w:szCs w:val="20"/>
          <w:lang w:eastAsia="el-GR"/>
        </w:rPr>
        <w:t xml:space="preserve">για την εκτόξευση </w:t>
      </w:r>
      <w:r w:rsidR="00690648">
        <w:rPr>
          <w:rFonts w:eastAsia="Times New Roman" w:cstheme="minorHAnsi"/>
          <w:color w:val="222222"/>
          <w:sz w:val="20"/>
          <w:szCs w:val="20"/>
          <w:lang w:eastAsia="el-GR"/>
        </w:rPr>
        <w:t xml:space="preserve">του </w:t>
      </w:r>
      <w:r w:rsidR="00317733">
        <w:rPr>
          <w:rFonts w:eastAsia="Times New Roman" w:cstheme="minorHAnsi"/>
          <w:color w:val="222222"/>
          <w:sz w:val="20"/>
          <w:szCs w:val="20"/>
          <w:lang w:eastAsia="el-GR"/>
        </w:rPr>
        <w:t>κόστους, είναι αφενός οι τιμές χιλιάδων ευρώ/</w:t>
      </w:r>
      <w:r w:rsidR="00317733">
        <w:rPr>
          <w:rFonts w:eastAsia="Times New Roman" w:cstheme="minorHAnsi"/>
          <w:color w:val="222222"/>
          <w:sz w:val="20"/>
          <w:szCs w:val="20"/>
          <w:lang w:val="en-US" w:eastAsia="el-GR"/>
        </w:rPr>
        <w:t>MWh</w:t>
      </w:r>
      <w:r w:rsidR="00317733" w:rsidRPr="00317733">
        <w:rPr>
          <w:rFonts w:eastAsia="Times New Roman" w:cstheme="minorHAnsi"/>
          <w:color w:val="222222"/>
          <w:sz w:val="20"/>
          <w:szCs w:val="20"/>
          <w:lang w:eastAsia="el-GR"/>
        </w:rPr>
        <w:t xml:space="preserve"> </w:t>
      </w:r>
      <w:r w:rsidR="00317733">
        <w:rPr>
          <w:rFonts w:eastAsia="Times New Roman" w:cstheme="minorHAnsi"/>
          <w:color w:val="222222"/>
          <w:sz w:val="20"/>
          <w:szCs w:val="20"/>
          <w:lang w:eastAsia="el-GR"/>
        </w:rPr>
        <w:t>που καταγράφονται εκεί συστηματικά, εκμεταλλευόμενοι οι πάροχοι το νυν όριο των +/-4,240 ευρώ/</w:t>
      </w:r>
      <w:r w:rsidR="00317733">
        <w:rPr>
          <w:rFonts w:eastAsia="Times New Roman" w:cstheme="minorHAnsi"/>
          <w:color w:val="222222"/>
          <w:sz w:val="20"/>
          <w:szCs w:val="20"/>
          <w:lang w:val="en-US" w:eastAsia="el-GR"/>
        </w:rPr>
        <w:t>MWh</w:t>
      </w:r>
      <w:r w:rsidR="00317733">
        <w:rPr>
          <w:rFonts w:eastAsia="Times New Roman" w:cstheme="minorHAnsi"/>
          <w:color w:val="222222"/>
          <w:sz w:val="20"/>
          <w:szCs w:val="20"/>
          <w:lang w:eastAsia="el-GR"/>
        </w:rPr>
        <w:t xml:space="preserve"> όπως ισχύει και αφετέρου η δυνατότητα στην αγορά Καθοδικής Ενέργειας Εξισορρόπησης να </w:t>
      </w:r>
      <w:r w:rsidR="00317733" w:rsidRPr="003B03BB">
        <w:rPr>
          <w:rFonts w:eastAsia="Times New Roman" w:cstheme="minorHAnsi"/>
          <w:b/>
          <w:bCs/>
          <w:color w:val="222222"/>
          <w:sz w:val="20"/>
          <w:szCs w:val="20"/>
          <w:u w:val="single"/>
          <w:lang w:eastAsia="el-GR"/>
        </w:rPr>
        <w:t xml:space="preserve">υποβάλλουν προσφορές αρνητικών τιμών, ούτως ώστε για λιγότερη ενέργεια που στον πραγματικό χρόνο τους ζητείται </w:t>
      </w:r>
      <w:r w:rsidR="003B03BB" w:rsidRPr="003B03BB">
        <w:rPr>
          <w:rFonts w:eastAsia="Times New Roman" w:cstheme="minorHAnsi"/>
          <w:b/>
          <w:bCs/>
          <w:color w:val="222222"/>
          <w:sz w:val="20"/>
          <w:szCs w:val="20"/>
          <w:u w:val="single"/>
          <w:lang w:eastAsia="el-GR"/>
        </w:rPr>
        <w:t xml:space="preserve">να παράξουν </w:t>
      </w:r>
      <w:r w:rsidR="00317733" w:rsidRPr="003B03BB">
        <w:rPr>
          <w:rFonts w:eastAsia="Times New Roman" w:cstheme="minorHAnsi"/>
          <w:b/>
          <w:bCs/>
          <w:color w:val="222222"/>
          <w:sz w:val="20"/>
          <w:szCs w:val="20"/>
          <w:u w:val="single"/>
          <w:lang w:eastAsia="el-GR"/>
        </w:rPr>
        <w:t>ως προς την ΑΕΗ, να λάβουν και επιπλέον αμοιβές αντί να επιστρέψουν</w:t>
      </w:r>
      <w:r w:rsidR="00317733">
        <w:rPr>
          <w:rFonts w:eastAsia="Times New Roman" w:cstheme="minorHAnsi"/>
          <w:color w:val="222222"/>
          <w:sz w:val="20"/>
          <w:szCs w:val="20"/>
          <w:lang w:eastAsia="el-GR"/>
        </w:rPr>
        <w:t xml:space="preserve"> μέρος ή όλο το μεταβλητό κόστος </w:t>
      </w:r>
      <w:r w:rsidR="00690648">
        <w:rPr>
          <w:rFonts w:eastAsia="Times New Roman" w:cstheme="minorHAnsi"/>
          <w:color w:val="222222"/>
          <w:sz w:val="20"/>
          <w:szCs w:val="20"/>
          <w:lang w:eastAsia="el-GR"/>
        </w:rPr>
        <w:t xml:space="preserve">για την ενέργεια αυτή </w:t>
      </w:r>
      <w:r w:rsidR="00317733">
        <w:rPr>
          <w:rFonts w:eastAsia="Times New Roman" w:cstheme="minorHAnsi"/>
          <w:color w:val="222222"/>
          <w:sz w:val="20"/>
          <w:szCs w:val="20"/>
          <w:lang w:eastAsia="el-GR"/>
        </w:rPr>
        <w:t xml:space="preserve">που προπληρώθηκαν στην ΑΕΗ.   </w:t>
      </w:r>
    </w:p>
    <w:p w14:paraId="42CFE995" w14:textId="3D40CACD" w:rsidR="00317733" w:rsidRDefault="00317733" w:rsidP="00074CC2">
      <w:pPr>
        <w:pStyle w:val="ListParagraph"/>
        <w:shd w:val="clear" w:color="auto" w:fill="FFFFFF"/>
        <w:spacing w:after="0" w:line="240" w:lineRule="auto"/>
        <w:ind w:left="426" w:hanging="284"/>
        <w:jc w:val="both"/>
        <w:rPr>
          <w:rFonts w:eastAsia="Times New Roman" w:cstheme="minorHAnsi"/>
          <w:color w:val="222222"/>
          <w:sz w:val="20"/>
          <w:szCs w:val="20"/>
          <w:lang w:eastAsia="el-GR"/>
        </w:rPr>
      </w:pPr>
    </w:p>
    <w:p w14:paraId="37320E81" w14:textId="18C66297" w:rsidR="007E4161" w:rsidRDefault="00317733"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Κατά συνέπεια και </w:t>
      </w:r>
      <w:r w:rsidR="008F4369">
        <w:rPr>
          <w:rFonts w:eastAsia="Times New Roman" w:cstheme="minorHAnsi"/>
          <w:color w:val="222222"/>
          <w:sz w:val="20"/>
          <w:szCs w:val="20"/>
          <w:lang w:eastAsia="el-GR"/>
        </w:rPr>
        <w:t>σε συνάφεια των</w:t>
      </w:r>
      <w:r>
        <w:rPr>
          <w:rFonts w:eastAsia="Times New Roman" w:cstheme="minorHAnsi"/>
          <w:color w:val="222222"/>
          <w:sz w:val="20"/>
          <w:szCs w:val="20"/>
          <w:lang w:eastAsia="el-GR"/>
        </w:rPr>
        <w:t xml:space="preserve"> όσων έχουμε εισηγηθεί στην από 16/12/20 επιστολή μας, δεν θα μπορούσαμε παρά να συμφωνήσουμε με την πρόταση σας, τόσο για </w:t>
      </w:r>
      <w:r w:rsidRPr="008F4369">
        <w:rPr>
          <w:rFonts w:eastAsia="Times New Roman" w:cstheme="minorHAnsi"/>
          <w:b/>
          <w:bCs/>
          <w:color w:val="222222"/>
          <w:sz w:val="20"/>
          <w:szCs w:val="20"/>
          <w:u w:val="single"/>
          <w:lang w:eastAsia="el-GR"/>
        </w:rPr>
        <w:t>θέσπιση χαμηλού ορίου 100 ευρώ/</w:t>
      </w:r>
      <w:r w:rsidRPr="008F4369">
        <w:rPr>
          <w:rFonts w:eastAsia="Times New Roman" w:cstheme="minorHAnsi"/>
          <w:b/>
          <w:bCs/>
          <w:color w:val="222222"/>
          <w:sz w:val="20"/>
          <w:szCs w:val="20"/>
          <w:u w:val="single"/>
          <w:lang w:val="en-US" w:eastAsia="el-GR"/>
        </w:rPr>
        <w:t>MWh</w:t>
      </w:r>
      <w:r w:rsidRPr="008F4369">
        <w:rPr>
          <w:rFonts w:eastAsia="Times New Roman" w:cstheme="minorHAnsi"/>
          <w:b/>
          <w:bCs/>
          <w:color w:val="222222"/>
          <w:sz w:val="20"/>
          <w:szCs w:val="20"/>
          <w:u w:val="single"/>
          <w:lang w:eastAsia="el-GR"/>
        </w:rPr>
        <w:t xml:space="preserve"> στις αγορές Ενέργειας Εξισορρόπησης καθώς και στην μη δυνατότητα υποβολής προσφορών με αρνητικό πρόσημο</w:t>
      </w:r>
      <w:r w:rsidR="00D02461">
        <w:rPr>
          <w:rFonts w:eastAsia="Times New Roman" w:cstheme="minorHAnsi"/>
          <w:color w:val="222222"/>
          <w:sz w:val="20"/>
          <w:szCs w:val="20"/>
          <w:lang w:eastAsia="el-GR"/>
        </w:rPr>
        <w:t>,</w:t>
      </w:r>
      <w:r>
        <w:rPr>
          <w:rFonts w:eastAsia="Times New Roman" w:cstheme="minorHAnsi"/>
          <w:color w:val="222222"/>
          <w:sz w:val="20"/>
          <w:szCs w:val="20"/>
          <w:lang w:eastAsia="el-GR"/>
        </w:rPr>
        <w:t xml:space="preserve"> ούτως ώστε να αποκλειστεί </w:t>
      </w:r>
      <w:r w:rsidR="00226EED">
        <w:rPr>
          <w:rFonts w:eastAsia="Times New Roman" w:cstheme="minorHAnsi"/>
          <w:color w:val="222222"/>
          <w:sz w:val="20"/>
          <w:szCs w:val="20"/>
          <w:lang w:eastAsia="el-GR"/>
        </w:rPr>
        <w:t>η</w:t>
      </w:r>
      <w:r>
        <w:rPr>
          <w:rFonts w:eastAsia="Times New Roman" w:cstheme="minorHAnsi"/>
          <w:color w:val="222222"/>
          <w:sz w:val="20"/>
          <w:szCs w:val="20"/>
          <w:lang w:eastAsia="el-GR"/>
        </w:rPr>
        <w:t xml:space="preserve"> δυνατότητα των παρόχων </w:t>
      </w:r>
      <w:r w:rsidR="00D02461">
        <w:rPr>
          <w:rFonts w:eastAsia="Times New Roman" w:cstheme="minorHAnsi"/>
          <w:color w:val="222222"/>
          <w:sz w:val="20"/>
          <w:szCs w:val="20"/>
          <w:lang w:eastAsia="el-GR"/>
        </w:rPr>
        <w:t xml:space="preserve">τέτοιων υπηρεσιών </w:t>
      </w:r>
      <w:r w:rsidR="00482AD6">
        <w:rPr>
          <w:rFonts w:eastAsia="Times New Roman" w:cstheme="minorHAnsi"/>
          <w:color w:val="222222"/>
          <w:sz w:val="20"/>
          <w:szCs w:val="20"/>
          <w:lang w:eastAsia="el-GR"/>
        </w:rPr>
        <w:t xml:space="preserve">στην καθοδική αγορά </w:t>
      </w:r>
      <w:r>
        <w:rPr>
          <w:rFonts w:eastAsia="Times New Roman" w:cstheme="minorHAnsi"/>
          <w:color w:val="222222"/>
          <w:sz w:val="20"/>
          <w:szCs w:val="20"/>
          <w:lang w:eastAsia="el-GR"/>
        </w:rPr>
        <w:t xml:space="preserve">να λαμβάνουν </w:t>
      </w:r>
      <w:r w:rsidR="00226EED">
        <w:rPr>
          <w:rFonts w:eastAsia="Times New Roman" w:cstheme="minorHAnsi"/>
          <w:color w:val="222222"/>
          <w:sz w:val="20"/>
          <w:szCs w:val="20"/>
          <w:lang w:eastAsia="el-GR"/>
        </w:rPr>
        <w:t xml:space="preserve">παραδόξως </w:t>
      </w:r>
      <w:r>
        <w:rPr>
          <w:rFonts w:eastAsia="Times New Roman" w:cstheme="minorHAnsi"/>
          <w:color w:val="222222"/>
          <w:sz w:val="20"/>
          <w:szCs w:val="20"/>
          <w:lang w:eastAsia="el-GR"/>
        </w:rPr>
        <w:t>επιπλέον αμοιβή όταν τους ζητείται να εγχύσουν λιγότερη ενέργεια</w:t>
      </w:r>
      <w:r w:rsidR="00226EED">
        <w:rPr>
          <w:rFonts w:eastAsia="Times New Roman" w:cstheme="minorHAnsi"/>
          <w:color w:val="222222"/>
          <w:sz w:val="20"/>
          <w:szCs w:val="20"/>
          <w:lang w:eastAsia="el-GR"/>
        </w:rPr>
        <w:t xml:space="preserve"> ως προς </w:t>
      </w:r>
      <w:r w:rsidR="008F4369">
        <w:rPr>
          <w:rFonts w:eastAsia="Times New Roman" w:cstheme="minorHAnsi"/>
          <w:color w:val="222222"/>
          <w:sz w:val="20"/>
          <w:szCs w:val="20"/>
          <w:lang w:eastAsia="el-GR"/>
        </w:rPr>
        <w:t>αυτήν που προπληρώθηκαν σ</w:t>
      </w:r>
      <w:r w:rsidR="00226EED">
        <w:rPr>
          <w:rFonts w:eastAsia="Times New Roman" w:cstheme="minorHAnsi"/>
          <w:color w:val="222222"/>
          <w:sz w:val="20"/>
          <w:szCs w:val="20"/>
          <w:lang w:eastAsia="el-GR"/>
        </w:rPr>
        <w:t>την ΑΕΗ</w:t>
      </w:r>
      <w:r w:rsidR="008F4369">
        <w:rPr>
          <w:rFonts w:eastAsia="Times New Roman" w:cstheme="minorHAnsi"/>
          <w:color w:val="222222"/>
          <w:sz w:val="20"/>
          <w:szCs w:val="20"/>
          <w:lang w:eastAsia="el-GR"/>
        </w:rPr>
        <w:t>.</w:t>
      </w:r>
      <w:r>
        <w:rPr>
          <w:rFonts w:eastAsia="Times New Roman" w:cstheme="minorHAnsi"/>
          <w:color w:val="222222"/>
          <w:sz w:val="20"/>
          <w:szCs w:val="20"/>
          <w:lang w:eastAsia="el-GR"/>
        </w:rPr>
        <w:t xml:space="preserve"> </w:t>
      </w:r>
    </w:p>
    <w:p w14:paraId="783E6B58" w14:textId="77777777" w:rsidR="007E4161" w:rsidRDefault="007E4161" w:rsidP="00074CC2">
      <w:pPr>
        <w:pStyle w:val="ListParagraph"/>
        <w:shd w:val="clear" w:color="auto" w:fill="FFFFFF"/>
        <w:spacing w:after="0" w:line="240" w:lineRule="auto"/>
        <w:ind w:left="426" w:hanging="284"/>
        <w:jc w:val="both"/>
        <w:rPr>
          <w:rFonts w:eastAsia="Times New Roman" w:cstheme="minorHAnsi"/>
          <w:color w:val="222222"/>
          <w:sz w:val="20"/>
          <w:szCs w:val="20"/>
          <w:lang w:eastAsia="el-GR"/>
        </w:rPr>
      </w:pPr>
    </w:p>
    <w:p w14:paraId="2C137730" w14:textId="18B7F5DF" w:rsidR="007E4161" w:rsidRDefault="007E4161"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Επειδή ωστόσο λόγω του μη συζευγμένου χαρακτήρα των αγορών αυτών οι συμμετέχοντες πάροχοι τέτοιων υπηρεσιών είναι ελάχιστοι (4-5 εταιρείες), οπότε και δεν λειτουργεί εν τοις πράγμασι ο ανταγωνισμός, είναι πιθανόν οι προσφορές και οι τιμές κλεισίματος να προσεγγίζουν συστηματικά </w:t>
      </w:r>
      <w:r w:rsidR="00C063B4">
        <w:rPr>
          <w:rFonts w:eastAsia="Times New Roman" w:cstheme="minorHAnsi"/>
          <w:color w:val="222222"/>
          <w:sz w:val="20"/>
          <w:szCs w:val="20"/>
          <w:lang w:eastAsia="el-GR"/>
        </w:rPr>
        <w:t xml:space="preserve">και πάλι </w:t>
      </w:r>
      <w:r>
        <w:rPr>
          <w:rFonts w:eastAsia="Times New Roman" w:cstheme="minorHAnsi"/>
          <w:color w:val="222222"/>
          <w:sz w:val="20"/>
          <w:szCs w:val="20"/>
          <w:lang w:eastAsia="el-GR"/>
        </w:rPr>
        <w:t>τ</w:t>
      </w:r>
      <w:r w:rsidR="00C063B4">
        <w:rPr>
          <w:rFonts w:eastAsia="Times New Roman" w:cstheme="minorHAnsi"/>
          <w:color w:val="222222"/>
          <w:sz w:val="20"/>
          <w:szCs w:val="20"/>
          <w:lang w:eastAsia="el-GR"/>
        </w:rPr>
        <w:t>α</w:t>
      </w:r>
      <w:r>
        <w:rPr>
          <w:rFonts w:eastAsia="Times New Roman" w:cstheme="minorHAnsi"/>
          <w:color w:val="222222"/>
          <w:sz w:val="20"/>
          <w:szCs w:val="20"/>
          <w:lang w:eastAsia="el-GR"/>
        </w:rPr>
        <w:t xml:space="preserve"> όρια, δηλαδή τα 100 ευρώ/</w:t>
      </w:r>
      <w:r>
        <w:rPr>
          <w:rFonts w:eastAsia="Times New Roman" w:cstheme="minorHAnsi"/>
          <w:color w:val="222222"/>
          <w:sz w:val="20"/>
          <w:szCs w:val="20"/>
          <w:lang w:val="en-US" w:eastAsia="el-GR"/>
        </w:rPr>
        <w:t>MWh</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για την Αγορά Ανοδικής Ενέργειας Εξισορρόπησης και τα 0 ευρώ/</w:t>
      </w:r>
      <w:r>
        <w:rPr>
          <w:rFonts w:eastAsia="Times New Roman" w:cstheme="minorHAnsi"/>
          <w:color w:val="222222"/>
          <w:sz w:val="20"/>
          <w:szCs w:val="20"/>
          <w:lang w:val="en-US" w:eastAsia="el-GR"/>
        </w:rPr>
        <w:t>MWh</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 xml:space="preserve">για την καθοδική, οπότε και πάλι το </w:t>
      </w:r>
      <w:r w:rsidR="00C063B4">
        <w:rPr>
          <w:rFonts w:eastAsia="Times New Roman" w:cstheme="minorHAnsi"/>
          <w:color w:val="222222"/>
          <w:sz w:val="20"/>
          <w:szCs w:val="20"/>
          <w:lang w:eastAsia="el-GR"/>
        </w:rPr>
        <w:t>πρόσθετο</w:t>
      </w:r>
      <w:r>
        <w:rPr>
          <w:rFonts w:eastAsia="Times New Roman" w:cstheme="minorHAnsi"/>
          <w:color w:val="222222"/>
          <w:sz w:val="20"/>
          <w:szCs w:val="20"/>
          <w:lang w:eastAsia="el-GR"/>
        </w:rPr>
        <w:t xml:space="preserve"> κόστος ως προς την ΑΕΗ να παραμείνει υψηλό.  Για τον λόγο αυτό </w:t>
      </w:r>
      <w:r w:rsidRPr="00C063B4">
        <w:rPr>
          <w:rFonts w:eastAsia="Times New Roman" w:cstheme="minorHAnsi"/>
          <w:b/>
          <w:bCs/>
          <w:color w:val="222222"/>
          <w:sz w:val="20"/>
          <w:szCs w:val="20"/>
          <w:u w:val="single"/>
          <w:lang w:eastAsia="el-GR"/>
        </w:rPr>
        <w:t xml:space="preserve">θα επαναλάβουμε την από 16/12/20 πρόταση μας για αντικατάσταση </w:t>
      </w:r>
      <w:r w:rsidR="00F30221">
        <w:rPr>
          <w:rFonts w:eastAsia="Times New Roman" w:cstheme="minorHAnsi"/>
          <w:b/>
          <w:bCs/>
          <w:color w:val="222222"/>
          <w:sz w:val="20"/>
          <w:szCs w:val="20"/>
          <w:u w:val="single"/>
          <w:lang w:eastAsia="el-GR"/>
        </w:rPr>
        <w:t xml:space="preserve">και </w:t>
      </w:r>
      <w:r w:rsidRPr="00C063B4">
        <w:rPr>
          <w:rFonts w:eastAsia="Times New Roman" w:cstheme="minorHAnsi"/>
          <w:b/>
          <w:bCs/>
          <w:color w:val="222222"/>
          <w:sz w:val="20"/>
          <w:szCs w:val="20"/>
          <w:u w:val="single"/>
          <w:lang w:eastAsia="el-GR"/>
        </w:rPr>
        <w:t>του αλγόριθμου υπολογισμού της τιμής από “</w:t>
      </w:r>
      <w:r w:rsidRPr="00C063B4">
        <w:rPr>
          <w:rFonts w:eastAsia="Times New Roman" w:cstheme="minorHAnsi"/>
          <w:b/>
          <w:bCs/>
          <w:color w:val="222222"/>
          <w:sz w:val="20"/>
          <w:szCs w:val="20"/>
          <w:u w:val="single"/>
          <w:lang w:val="en-US" w:eastAsia="el-GR"/>
        </w:rPr>
        <w:t>Pay</w:t>
      </w:r>
      <w:r w:rsidRPr="00C063B4">
        <w:rPr>
          <w:rFonts w:eastAsia="Times New Roman" w:cstheme="minorHAnsi"/>
          <w:b/>
          <w:bCs/>
          <w:color w:val="222222"/>
          <w:sz w:val="20"/>
          <w:szCs w:val="20"/>
          <w:u w:val="single"/>
          <w:lang w:eastAsia="el-GR"/>
        </w:rPr>
        <w:t xml:space="preserve"> </w:t>
      </w:r>
      <w:r w:rsidRPr="00C063B4">
        <w:rPr>
          <w:rFonts w:eastAsia="Times New Roman" w:cstheme="minorHAnsi"/>
          <w:b/>
          <w:bCs/>
          <w:color w:val="222222"/>
          <w:sz w:val="20"/>
          <w:szCs w:val="20"/>
          <w:u w:val="single"/>
          <w:lang w:val="en-US" w:eastAsia="el-GR"/>
        </w:rPr>
        <w:t>as</w:t>
      </w:r>
      <w:r w:rsidRPr="00C063B4">
        <w:rPr>
          <w:rFonts w:eastAsia="Times New Roman" w:cstheme="minorHAnsi"/>
          <w:b/>
          <w:bCs/>
          <w:color w:val="222222"/>
          <w:sz w:val="20"/>
          <w:szCs w:val="20"/>
          <w:u w:val="single"/>
          <w:lang w:eastAsia="el-GR"/>
        </w:rPr>
        <w:t xml:space="preserve"> </w:t>
      </w:r>
      <w:r w:rsidRPr="00C063B4">
        <w:rPr>
          <w:rFonts w:eastAsia="Times New Roman" w:cstheme="minorHAnsi"/>
          <w:b/>
          <w:bCs/>
          <w:color w:val="222222"/>
          <w:sz w:val="20"/>
          <w:szCs w:val="20"/>
          <w:u w:val="single"/>
          <w:lang w:val="en-US" w:eastAsia="el-GR"/>
        </w:rPr>
        <w:t>Cleared</w:t>
      </w:r>
      <w:r w:rsidRPr="00C063B4">
        <w:rPr>
          <w:rFonts w:eastAsia="Times New Roman" w:cstheme="minorHAnsi"/>
          <w:b/>
          <w:bCs/>
          <w:color w:val="222222"/>
          <w:sz w:val="20"/>
          <w:szCs w:val="20"/>
          <w:u w:val="single"/>
          <w:lang w:eastAsia="el-GR"/>
        </w:rPr>
        <w:t>” σε “</w:t>
      </w:r>
      <w:r w:rsidRPr="00C063B4">
        <w:rPr>
          <w:rFonts w:eastAsia="Times New Roman" w:cstheme="minorHAnsi"/>
          <w:b/>
          <w:bCs/>
          <w:color w:val="222222"/>
          <w:sz w:val="20"/>
          <w:szCs w:val="20"/>
          <w:u w:val="single"/>
          <w:lang w:val="en-US" w:eastAsia="el-GR"/>
        </w:rPr>
        <w:t>Pay</w:t>
      </w:r>
      <w:r w:rsidRPr="00C063B4">
        <w:rPr>
          <w:rFonts w:eastAsia="Times New Roman" w:cstheme="minorHAnsi"/>
          <w:b/>
          <w:bCs/>
          <w:color w:val="222222"/>
          <w:sz w:val="20"/>
          <w:szCs w:val="20"/>
          <w:u w:val="single"/>
          <w:lang w:eastAsia="el-GR"/>
        </w:rPr>
        <w:t xml:space="preserve"> </w:t>
      </w:r>
      <w:r w:rsidRPr="00C063B4">
        <w:rPr>
          <w:rFonts w:eastAsia="Times New Roman" w:cstheme="minorHAnsi"/>
          <w:b/>
          <w:bCs/>
          <w:color w:val="222222"/>
          <w:sz w:val="20"/>
          <w:szCs w:val="20"/>
          <w:u w:val="single"/>
          <w:lang w:val="en-US" w:eastAsia="el-GR"/>
        </w:rPr>
        <w:t>as</w:t>
      </w:r>
      <w:r w:rsidRPr="00C063B4">
        <w:rPr>
          <w:rFonts w:eastAsia="Times New Roman" w:cstheme="minorHAnsi"/>
          <w:b/>
          <w:bCs/>
          <w:color w:val="222222"/>
          <w:sz w:val="20"/>
          <w:szCs w:val="20"/>
          <w:u w:val="single"/>
          <w:lang w:eastAsia="el-GR"/>
        </w:rPr>
        <w:t xml:space="preserve"> </w:t>
      </w:r>
      <w:r w:rsidRPr="00C063B4">
        <w:rPr>
          <w:rFonts w:eastAsia="Times New Roman" w:cstheme="minorHAnsi"/>
          <w:b/>
          <w:bCs/>
          <w:color w:val="222222"/>
          <w:sz w:val="20"/>
          <w:szCs w:val="20"/>
          <w:u w:val="single"/>
          <w:lang w:val="en-US" w:eastAsia="el-GR"/>
        </w:rPr>
        <w:t>Bid</w:t>
      </w:r>
      <w:r w:rsidRPr="00C063B4">
        <w:rPr>
          <w:rFonts w:eastAsia="Times New Roman" w:cstheme="minorHAnsi"/>
          <w:b/>
          <w:bCs/>
          <w:color w:val="222222"/>
          <w:sz w:val="20"/>
          <w:szCs w:val="20"/>
          <w:u w:val="single"/>
          <w:lang w:eastAsia="el-GR"/>
        </w:rPr>
        <w:t>”.</w:t>
      </w:r>
      <w:r w:rsidRPr="007E4161">
        <w:rPr>
          <w:rFonts w:eastAsia="Times New Roman" w:cstheme="minorHAnsi"/>
          <w:color w:val="222222"/>
          <w:sz w:val="20"/>
          <w:szCs w:val="20"/>
          <w:lang w:eastAsia="el-GR"/>
        </w:rPr>
        <w:t xml:space="preserve">  </w:t>
      </w:r>
    </w:p>
    <w:p w14:paraId="29341C5F" w14:textId="77777777" w:rsidR="007E4161" w:rsidRDefault="007E4161" w:rsidP="00074CC2">
      <w:pPr>
        <w:pStyle w:val="ListParagraph"/>
        <w:shd w:val="clear" w:color="auto" w:fill="FFFFFF"/>
        <w:spacing w:after="0" w:line="240" w:lineRule="auto"/>
        <w:ind w:left="426" w:hanging="284"/>
        <w:jc w:val="both"/>
        <w:rPr>
          <w:rFonts w:eastAsia="Times New Roman" w:cstheme="minorHAnsi"/>
          <w:color w:val="222222"/>
          <w:sz w:val="20"/>
          <w:szCs w:val="20"/>
          <w:lang w:eastAsia="el-GR"/>
        </w:rPr>
      </w:pPr>
    </w:p>
    <w:p w14:paraId="79B0F3DC" w14:textId="2FFA1F0B" w:rsidR="00317733" w:rsidRDefault="0041101A"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Με το </w:t>
      </w:r>
      <w:r w:rsidRPr="0041101A">
        <w:rPr>
          <w:rFonts w:eastAsia="Times New Roman" w:cstheme="minorHAnsi"/>
          <w:color w:val="222222"/>
          <w:sz w:val="20"/>
          <w:szCs w:val="20"/>
          <w:lang w:eastAsia="el-GR"/>
        </w:rPr>
        <w:t>“</w:t>
      </w:r>
      <w:r>
        <w:rPr>
          <w:rFonts w:eastAsia="Times New Roman" w:cstheme="minorHAnsi"/>
          <w:color w:val="222222"/>
          <w:sz w:val="20"/>
          <w:szCs w:val="20"/>
          <w:lang w:val="en-US" w:eastAsia="el-GR"/>
        </w:rPr>
        <w:t>Pay</w:t>
      </w:r>
      <w:r w:rsidRPr="0041101A">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as</w:t>
      </w:r>
      <w:r w:rsidRPr="0041101A">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Bid</w:t>
      </w:r>
      <w:r w:rsidRPr="0041101A">
        <w:rPr>
          <w:rFonts w:eastAsia="Times New Roman" w:cstheme="minorHAnsi"/>
          <w:color w:val="222222"/>
          <w:sz w:val="20"/>
          <w:szCs w:val="20"/>
          <w:lang w:eastAsia="el-GR"/>
        </w:rPr>
        <w:t xml:space="preserve">” </w:t>
      </w:r>
      <w:r w:rsidR="007E4161">
        <w:rPr>
          <w:rFonts w:eastAsia="Times New Roman" w:cstheme="minorHAnsi"/>
          <w:color w:val="222222"/>
          <w:sz w:val="20"/>
          <w:szCs w:val="20"/>
          <w:lang w:eastAsia="el-GR"/>
        </w:rPr>
        <w:t xml:space="preserve">στην ανοδική αγορά </w:t>
      </w:r>
      <w:r>
        <w:rPr>
          <w:rFonts w:eastAsia="Times New Roman" w:cstheme="minorHAnsi"/>
          <w:color w:val="222222"/>
          <w:sz w:val="20"/>
          <w:szCs w:val="20"/>
          <w:lang w:eastAsia="el-GR"/>
        </w:rPr>
        <w:t xml:space="preserve">ενέργειας εξισορρόπησης </w:t>
      </w:r>
      <w:r w:rsidR="007E4161">
        <w:rPr>
          <w:rFonts w:eastAsia="Times New Roman" w:cstheme="minorHAnsi"/>
          <w:color w:val="222222"/>
          <w:sz w:val="20"/>
          <w:szCs w:val="20"/>
          <w:lang w:eastAsia="el-GR"/>
        </w:rPr>
        <w:t xml:space="preserve">δεν θα πληρώνονται όλοι οι πάροχοι ενιαία  στην προσφορά του ακριβότερου </w:t>
      </w:r>
      <w:r w:rsidR="000344FB">
        <w:rPr>
          <w:rFonts w:eastAsia="Times New Roman" w:cstheme="minorHAnsi"/>
          <w:color w:val="222222"/>
          <w:sz w:val="20"/>
          <w:szCs w:val="20"/>
          <w:lang w:eastAsia="el-GR"/>
        </w:rPr>
        <w:t xml:space="preserve">(λιγότερο ανταγωνιστικού) </w:t>
      </w:r>
      <w:r w:rsidR="007E4161">
        <w:rPr>
          <w:rFonts w:eastAsia="Times New Roman" w:cstheme="minorHAnsi"/>
          <w:color w:val="222222"/>
          <w:sz w:val="20"/>
          <w:szCs w:val="20"/>
          <w:lang w:eastAsia="el-GR"/>
        </w:rPr>
        <w:t xml:space="preserve">που χρειάστηκε να ενταχθεί, αλλά ο καθένας στην τιμή </w:t>
      </w:r>
      <w:r w:rsidR="004D467F">
        <w:rPr>
          <w:rFonts w:eastAsia="Times New Roman" w:cstheme="minorHAnsi"/>
          <w:color w:val="222222"/>
          <w:sz w:val="20"/>
          <w:szCs w:val="20"/>
          <w:lang w:eastAsia="el-GR"/>
        </w:rPr>
        <w:t xml:space="preserve">ανά βήμα </w:t>
      </w:r>
      <w:r w:rsidR="000344FB">
        <w:rPr>
          <w:rFonts w:eastAsia="Times New Roman" w:cstheme="minorHAnsi"/>
          <w:color w:val="222222"/>
          <w:sz w:val="20"/>
          <w:szCs w:val="20"/>
          <w:lang w:eastAsia="el-GR"/>
        </w:rPr>
        <w:t xml:space="preserve">που προσέφερε και </w:t>
      </w:r>
      <w:r w:rsidR="004D467F">
        <w:rPr>
          <w:rFonts w:eastAsia="Times New Roman" w:cstheme="minorHAnsi"/>
          <w:color w:val="222222"/>
          <w:sz w:val="20"/>
          <w:szCs w:val="20"/>
          <w:lang w:eastAsia="el-GR"/>
        </w:rPr>
        <w:t>που εντάχθηκε</w:t>
      </w:r>
      <w:r w:rsidR="007E4161">
        <w:rPr>
          <w:rFonts w:eastAsia="Times New Roman" w:cstheme="minorHAnsi"/>
          <w:color w:val="222222"/>
          <w:sz w:val="20"/>
          <w:szCs w:val="20"/>
          <w:lang w:eastAsia="el-GR"/>
        </w:rPr>
        <w:t>.  Αντίστοιχα στη</w:t>
      </w:r>
      <w:r w:rsidR="00FA2988">
        <w:rPr>
          <w:rFonts w:eastAsia="Times New Roman" w:cstheme="minorHAnsi"/>
          <w:color w:val="222222"/>
          <w:sz w:val="20"/>
          <w:szCs w:val="20"/>
          <w:lang w:eastAsia="el-GR"/>
        </w:rPr>
        <w:t>ν</w:t>
      </w:r>
      <w:r w:rsidR="007E4161">
        <w:rPr>
          <w:rFonts w:eastAsia="Times New Roman" w:cstheme="minorHAnsi"/>
          <w:color w:val="222222"/>
          <w:sz w:val="20"/>
          <w:szCs w:val="20"/>
          <w:lang w:eastAsia="el-GR"/>
        </w:rPr>
        <w:t xml:space="preserve"> καθοδική αγορά</w:t>
      </w:r>
      <w:r w:rsidR="000344FB">
        <w:rPr>
          <w:rFonts w:eastAsia="Times New Roman" w:cstheme="minorHAnsi"/>
          <w:color w:val="222222"/>
          <w:sz w:val="20"/>
          <w:szCs w:val="20"/>
          <w:lang w:eastAsia="el-GR"/>
        </w:rPr>
        <w:t xml:space="preserve"> ενέργειας εξισορρόπησης</w:t>
      </w:r>
      <w:r w:rsidR="007E4161">
        <w:rPr>
          <w:rFonts w:eastAsia="Times New Roman" w:cstheme="minorHAnsi"/>
          <w:color w:val="222222"/>
          <w:sz w:val="20"/>
          <w:szCs w:val="20"/>
          <w:lang w:eastAsia="el-GR"/>
        </w:rPr>
        <w:t>, δεν θα περιοριστούν οι επιστροφές χρημάτων στην προσφορά με το χαμηλότερο ή μηδενικό τίμημα</w:t>
      </w:r>
      <w:r w:rsidR="000344FB">
        <w:rPr>
          <w:rFonts w:eastAsia="Times New Roman" w:cstheme="minorHAnsi"/>
          <w:color w:val="222222"/>
          <w:sz w:val="20"/>
          <w:szCs w:val="20"/>
          <w:lang w:eastAsia="el-GR"/>
        </w:rPr>
        <w:t xml:space="preserve"> </w:t>
      </w:r>
      <w:r w:rsidR="00FA2988">
        <w:rPr>
          <w:rFonts w:eastAsia="Times New Roman" w:cstheme="minorHAnsi"/>
          <w:color w:val="222222"/>
          <w:sz w:val="20"/>
          <w:szCs w:val="20"/>
          <w:lang w:eastAsia="el-GR"/>
        </w:rPr>
        <w:t xml:space="preserve">(με βάση το νέο προτεινόμενο όριο) </w:t>
      </w:r>
      <w:r w:rsidR="000344FB">
        <w:rPr>
          <w:rFonts w:eastAsia="Times New Roman" w:cstheme="minorHAnsi"/>
          <w:color w:val="222222"/>
          <w:sz w:val="20"/>
          <w:szCs w:val="20"/>
          <w:lang w:eastAsia="el-GR"/>
        </w:rPr>
        <w:t>του λιγότερου ανταγωνιστικού που χρειάστηκε να ενταχθεί</w:t>
      </w:r>
      <w:r w:rsidR="007E4161">
        <w:rPr>
          <w:rFonts w:eastAsia="Times New Roman" w:cstheme="minorHAnsi"/>
          <w:color w:val="222222"/>
          <w:sz w:val="20"/>
          <w:szCs w:val="20"/>
          <w:lang w:eastAsia="el-GR"/>
        </w:rPr>
        <w:t xml:space="preserve">, αλλά ο καθένας που εντάχθηκε θα επιστρέψει αυτό που προτίθετο </w:t>
      </w:r>
      <w:r w:rsidR="004D467F">
        <w:rPr>
          <w:rFonts w:eastAsia="Times New Roman" w:cstheme="minorHAnsi"/>
          <w:color w:val="222222"/>
          <w:sz w:val="20"/>
          <w:szCs w:val="20"/>
          <w:lang w:eastAsia="el-GR"/>
        </w:rPr>
        <w:t xml:space="preserve">ανά βήμα που εντάχθηκε </w:t>
      </w:r>
      <w:r w:rsidR="00217FD5">
        <w:rPr>
          <w:rFonts w:eastAsia="Times New Roman" w:cstheme="minorHAnsi"/>
          <w:color w:val="222222"/>
          <w:sz w:val="20"/>
          <w:szCs w:val="20"/>
          <w:lang w:eastAsia="el-GR"/>
        </w:rPr>
        <w:t xml:space="preserve">και προπληρώθηκε </w:t>
      </w:r>
      <w:r w:rsidR="007E4161">
        <w:rPr>
          <w:rFonts w:eastAsia="Times New Roman" w:cstheme="minorHAnsi"/>
          <w:color w:val="222222"/>
          <w:sz w:val="20"/>
          <w:szCs w:val="20"/>
          <w:lang w:eastAsia="el-GR"/>
        </w:rPr>
        <w:t xml:space="preserve">να επιστρέψει. </w:t>
      </w:r>
    </w:p>
    <w:p w14:paraId="0E03016A" w14:textId="77777777" w:rsidR="00FF684F" w:rsidRPr="00FF684F" w:rsidRDefault="00FF684F" w:rsidP="00FF684F">
      <w:pPr>
        <w:pStyle w:val="ListParagraph"/>
        <w:rPr>
          <w:rFonts w:eastAsia="Times New Roman" w:cstheme="minorHAnsi"/>
          <w:color w:val="222222"/>
          <w:sz w:val="20"/>
          <w:szCs w:val="20"/>
          <w:lang w:eastAsia="el-GR"/>
        </w:rPr>
      </w:pPr>
    </w:p>
    <w:p w14:paraId="2F594042" w14:textId="6EB85B21" w:rsidR="00FF684F" w:rsidRPr="00BE6306" w:rsidRDefault="008056A4" w:rsidP="00074CC2">
      <w:pPr>
        <w:pStyle w:val="ListParagraph"/>
        <w:numPr>
          <w:ilvl w:val="0"/>
          <w:numId w:val="42"/>
        </w:numPr>
        <w:shd w:val="clear" w:color="auto" w:fill="FFFFFF"/>
        <w:spacing w:after="0" w:line="240" w:lineRule="auto"/>
        <w:ind w:left="426" w:hanging="284"/>
        <w:jc w:val="both"/>
        <w:rPr>
          <w:rFonts w:eastAsia="Times New Roman" w:cstheme="minorHAnsi"/>
          <w:color w:val="222222"/>
          <w:sz w:val="20"/>
          <w:szCs w:val="20"/>
          <w:lang w:eastAsia="el-GR"/>
        </w:rPr>
      </w:pPr>
      <w:r w:rsidRPr="001354D3">
        <w:rPr>
          <w:rFonts w:eastAsia="Times New Roman" w:cstheme="minorHAnsi"/>
          <w:color w:val="222222"/>
          <w:sz w:val="20"/>
          <w:szCs w:val="20"/>
          <w:lang w:eastAsia="el-GR"/>
        </w:rPr>
        <w:t xml:space="preserve">Με τις υπέρογκες αμοιβές που καταγράφονται στις Αγορές Εξισορρόπησης και που θα συνεχίσουν -λόγω έλλειψης ανταγωνισμού- σε χαμηλότερα μεν επίπεδα να υπάρχουν και υπό τα νέα όρια τιμών, </w:t>
      </w:r>
      <w:r w:rsidRPr="001354D3">
        <w:rPr>
          <w:rFonts w:eastAsia="Times New Roman" w:cstheme="minorHAnsi"/>
          <w:b/>
          <w:bCs/>
          <w:color w:val="222222"/>
          <w:sz w:val="20"/>
          <w:szCs w:val="20"/>
          <w:u w:val="single"/>
          <w:lang w:eastAsia="el-GR"/>
        </w:rPr>
        <w:t>δεν αντιλαμβανόμαστε πως συνδυάζ</w:t>
      </w:r>
      <w:r>
        <w:rPr>
          <w:rFonts w:eastAsia="Times New Roman" w:cstheme="minorHAnsi"/>
          <w:b/>
          <w:bCs/>
          <w:color w:val="222222"/>
          <w:sz w:val="20"/>
          <w:szCs w:val="20"/>
          <w:u w:val="single"/>
          <w:lang w:eastAsia="el-GR"/>
        </w:rPr>
        <w:t>ον</w:t>
      </w:r>
      <w:r w:rsidRPr="001354D3">
        <w:rPr>
          <w:rFonts w:eastAsia="Times New Roman" w:cstheme="minorHAnsi"/>
          <w:b/>
          <w:bCs/>
          <w:color w:val="222222"/>
          <w:sz w:val="20"/>
          <w:szCs w:val="20"/>
          <w:u w:val="single"/>
          <w:lang w:eastAsia="el-GR"/>
        </w:rPr>
        <w:t xml:space="preserve">ται και με την ύπαρξη </w:t>
      </w:r>
      <w:r>
        <w:rPr>
          <w:rFonts w:eastAsia="Times New Roman" w:cstheme="minorHAnsi"/>
          <w:b/>
          <w:bCs/>
          <w:color w:val="222222"/>
          <w:sz w:val="20"/>
          <w:szCs w:val="20"/>
          <w:u w:val="single"/>
          <w:lang w:eastAsia="el-GR"/>
        </w:rPr>
        <w:t xml:space="preserve">επιπλέον </w:t>
      </w:r>
      <w:r w:rsidRPr="001354D3">
        <w:rPr>
          <w:rFonts w:eastAsia="Times New Roman" w:cstheme="minorHAnsi"/>
          <w:b/>
          <w:bCs/>
          <w:color w:val="222222"/>
          <w:sz w:val="20"/>
          <w:szCs w:val="20"/>
          <w:u w:val="single"/>
          <w:lang w:eastAsia="el-GR"/>
        </w:rPr>
        <w:t>Μεταβατικού Μηχανισμού Αποζημίωσης Ευελιξίας</w:t>
      </w:r>
      <w:r w:rsidRPr="001354D3">
        <w:rPr>
          <w:rFonts w:eastAsia="Times New Roman" w:cstheme="minorHAnsi"/>
          <w:color w:val="222222"/>
          <w:sz w:val="20"/>
          <w:szCs w:val="20"/>
          <w:lang w:eastAsia="el-GR"/>
        </w:rPr>
        <w:t xml:space="preserve"> (ΜΜΑΕ) ο οποίος </w:t>
      </w:r>
      <w:r>
        <w:rPr>
          <w:rFonts w:eastAsia="Times New Roman" w:cstheme="minorHAnsi"/>
          <w:color w:val="222222"/>
          <w:sz w:val="20"/>
          <w:szCs w:val="20"/>
          <w:lang w:eastAsia="el-GR"/>
        </w:rPr>
        <w:t>θεσμοθετήθηκε</w:t>
      </w:r>
      <w:r w:rsidRPr="001354D3">
        <w:rPr>
          <w:rFonts w:eastAsia="Times New Roman" w:cstheme="minorHAnsi"/>
          <w:color w:val="222222"/>
          <w:sz w:val="20"/>
          <w:szCs w:val="20"/>
          <w:lang w:eastAsia="el-GR"/>
        </w:rPr>
        <w:t xml:space="preserve"> με την ΥΑ ΔΗΕ/66754/810/2020 – ΦΕΚ Β2852/13-7-20.   Ενός μηχανισμού που </w:t>
      </w:r>
      <w:r>
        <w:rPr>
          <w:rFonts w:eastAsia="Times New Roman" w:cstheme="minorHAnsi"/>
          <w:color w:val="222222"/>
          <w:sz w:val="20"/>
          <w:szCs w:val="20"/>
          <w:lang w:eastAsia="el-GR"/>
        </w:rPr>
        <w:t xml:space="preserve">θεσπίστηκε να ισχύει για το διάστημα μέχρι 31/3/21 και που </w:t>
      </w:r>
      <w:r w:rsidRPr="001354D3">
        <w:rPr>
          <w:rFonts w:eastAsia="Times New Roman" w:cstheme="minorHAnsi"/>
          <w:color w:val="222222"/>
          <w:sz w:val="20"/>
          <w:szCs w:val="20"/>
          <w:lang w:eastAsia="el-GR"/>
        </w:rPr>
        <w:t xml:space="preserve">λειτούργησε ήδη </w:t>
      </w:r>
      <w:r>
        <w:rPr>
          <w:rFonts w:eastAsia="Times New Roman" w:cstheme="minorHAnsi"/>
          <w:color w:val="222222"/>
          <w:sz w:val="20"/>
          <w:szCs w:val="20"/>
          <w:lang w:eastAsia="el-GR"/>
        </w:rPr>
        <w:t>την περίοδο</w:t>
      </w:r>
      <w:r w:rsidRPr="001354D3">
        <w:rPr>
          <w:rFonts w:eastAsia="Times New Roman" w:cstheme="minorHAnsi"/>
          <w:color w:val="222222"/>
          <w:sz w:val="20"/>
          <w:szCs w:val="20"/>
          <w:lang w:eastAsia="el-GR"/>
        </w:rPr>
        <w:t xml:space="preserve"> 15/8-31/10/20 </w:t>
      </w:r>
      <w:r>
        <w:rPr>
          <w:rFonts w:eastAsia="Times New Roman" w:cstheme="minorHAnsi"/>
          <w:color w:val="222222"/>
          <w:sz w:val="20"/>
          <w:szCs w:val="20"/>
          <w:lang w:eastAsia="el-GR"/>
        </w:rPr>
        <w:t>ό</w:t>
      </w:r>
      <w:r w:rsidRPr="001354D3">
        <w:rPr>
          <w:rFonts w:eastAsia="Times New Roman" w:cstheme="minorHAnsi"/>
          <w:color w:val="222222"/>
          <w:sz w:val="20"/>
          <w:szCs w:val="20"/>
          <w:lang w:eastAsia="el-GR"/>
        </w:rPr>
        <w:t xml:space="preserve">που εκτός </w:t>
      </w:r>
      <w:r w:rsidRPr="001354D3">
        <w:rPr>
          <w:rFonts w:eastAsia="Times New Roman" w:cstheme="minorHAnsi"/>
          <w:color w:val="222222"/>
          <w:sz w:val="20"/>
          <w:szCs w:val="20"/>
          <w:lang w:eastAsia="el-GR"/>
        </w:rPr>
        <w:lastRenderedPageBreak/>
        <w:t>χονδρεμπορικής αγοράς απέδωσε μέσω δημοπρασίας “</w:t>
      </w:r>
      <w:r w:rsidRPr="001354D3">
        <w:rPr>
          <w:rFonts w:eastAsia="Times New Roman" w:cstheme="minorHAnsi"/>
          <w:color w:val="222222"/>
          <w:sz w:val="20"/>
          <w:szCs w:val="20"/>
          <w:lang w:val="en-US" w:eastAsia="el-GR"/>
        </w:rPr>
        <w:t>Pay</w:t>
      </w:r>
      <w:r w:rsidRPr="001354D3">
        <w:rPr>
          <w:rFonts w:eastAsia="Times New Roman" w:cstheme="minorHAnsi"/>
          <w:color w:val="222222"/>
          <w:sz w:val="20"/>
          <w:szCs w:val="20"/>
          <w:lang w:eastAsia="el-GR"/>
        </w:rPr>
        <w:t xml:space="preserve"> </w:t>
      </w:r>
      <w:r w:rsidRPr="001354D3">
        <w:rPr>
          <w:rFonts w:eastAsia="Times New Roman" w:cstheme="minorHAnsi"/>
          <w:color w:val="222222"/>
          <w:sz w:val="20"/>
          <w:szCs w:val="20"/>
          <w:lang w:val="en-US" w:eastAsia="el-GR"/>
        </w:rPr>
        <w:t>as</w:t>
      </w:r>
      <w:r w:rsidRPr="001354D3">
        <w:rPr>
          <w:rFonts w:eastAsia="Times New Roman" w:cstheme="minorHAnsi"/>
          <w:color w:val="222222"/>
          <w:sz w:val="20"/>
          <w:szCs w:val="20"/>
          <w:lang w:eastAsia="el-GR"/>
        </w:rPr>
        <w:t xml:space="preserve"> </w:t>
      </w:r>
      <w:r w:rsidRPr="001354D3">
        <w:rPr>
          <w:rFonts w:eastAsia="Times New Roman" w:cstheme="minorHAnsi"/>
          <w:color w:val="222222"/>
          <w:sz w:val="20"/>
          <w:szCs w:val="20"/>
          <w:lang w:val="en-US" w:eastAsia="el-GR"/>
        </w:rPr>
        <w:t>Bid</w:t>
      </w:r>
      <w:r w:rsidRPr="001354D3">
        <w:rPr>
          <w:rFonts w:eastAsia="Times New Roman" w:cstheme="minorHAnsi"/>
          <w:color w:val="222222"/>
          <w:sz w:val="20"/>
          <w:szCs w:val="20"/>
          <w:lang w:eastAsia="el-GR"/>
        </w:rPr>
        <w:t>”, 39,000 ευρώ/</w:t>
      </w:r>
      <w:r w:rsidRPr="001354D3">
        <w:rPr>
          <w:rFonts w:eastAsia="Times New Roman" w:cstheme="minorHAnsi"/>
          <w:color w:val="222222"/>
          <w:sz w:val="20"/>
          <w:szCs w:val="20"/>
          <w:lang w:val="en-US" w:eastAsia="el-GR"/>
        </w:rPr>
        <w:t>MW</w:t>
      </w:r>
      <w:r w:rsidRPr="001354D3">
        <w:rPr>
          <w:rFonts w:eastAsia="Times New Roman" w:cstheme="minorHAnsi"/>
          <w:color w:val="222222"/>
          <w:sz w:val="20"/>
          <w:szCs w:val="20"/>
          <w:lang w:eastAsia="el-GR"/>
        </w:rPr>
        <w:t xml:space="preserve">/έτος εγκατεστημένης ευέλικτης ισχύος για συνολικό </w:t>
      </w:r>
      <w:r w:rsidRPr="001354D3">
        <w:rPr>
          <w:rFonts w:eastAsia="Times New Roman" w:cstheme="minorHAnsi"/>
          <w:color w:val="222222"/>
          <w:sz w:val="20"/>
          <w:szCs w:val="20"/>
          <w:lang w:val="en-US" w:eastAsia="el-GR"/>
        </w:rPr>
        <w:t>Capacity</w:t>
      </w:r>
      <w:r w:rsidRPr="001354D3">
        <w:rPr>
          <w:rFonts w:eastAsia="Times New Roman" w:cstheme="minorHAnsi"/>
          <w:color w:val="222222"/>
          <w:sz w:val="20"/>
          <w:szCs w:val="20"/>
          <w:lang w:eastAsia="el-GR"/>
        </w:rPr>
        <w:t xml:space="preserve"> 4,500 </w:t>
      </w:r>
      <w:r w:rsidRPr="001354D3">
        <w:rPr>
          <w:rFonts w:eastAsia="Times New Roman" w:cstheme="minorHAnsi"/>
          <w:color w:val="222222"/>
          <w:sz w:val="20"/>
          <w:szCs w:val="20"/>
          <w:lang w:val="en-US" w:eastAsia="el-GR"/>
        </w:rPr>
        <w:t>MW</w:t>
      </w:r>
      <w:r w:rsidRPr="001354D3">
        <w:rPr>
          <w:rFonts w:eastAsia="Times New Roman" w:cstheme="minorHAnsi"/>
          <w:color w:val="222222"/>
          <w:sz w:val="20"/>
          <w:szCs w:val="20"/>
          <w:lang w:eastAsia="el-GR"/>
        </w:rPr>
        <w:t xml:space="preserve"> τέτοιων </w:t>
      </w:r>
      <w:r w:rsidR="008C636D">
        <w:rPr>
          <w:rFonts w:eastAsia="Times New Roman" w:cstheme="minorHAnsi"/>
          <w:color w:val="222222"/>
          <w:sz w:val="20"/>
          <w:szCs w:val="20"/>
          <w:lang w:eastAsia="el-GR"/>
        </w:rPr>
        <w:t xml:space="preserve">κατανεμόμενων </w:t>
      </w:r>
      <w:r w:rsidRPr="001354D3">
        <w:rPr>
          <w:rFonts w:eastAsia="Times New Roman" w:cstheme="minorHAnsi"/>
          <w:color w:val="222222"/>
          <w:sz w:val="20"/>
          <w:szCs w:val="20"/>
          <w:lang w:eastAsia="el-GR"/>
        </w:rPr>
        <w:t xml:space="preserve">μονάδων.  Η δεύτερη μάλιστα δημοπρασία ορίζεται στην ΥΑ πως θα διενεργηθεί το αργότερο εντός των πρώτων επτά (7) εργασίμων ημερών του μήνα, ο οποίος έπεται του μηνός κατά τον οποίο θα λάβει χώρα η εκκίνηση λειτουργίας της αγοράς εξισορρόπησης.  </w:t>
      </w:r>
      <w:r w:rsidRPr="001354D3">
        <w:rPr>
          <w:rFonts w:eastAsia="Times New Roman" w:cstheme="minorHAnsi"/>
          <w:b/>
          <w:bCs/>
          <w:color w:val="222222"/>
          <w:sz w:val="20"/>
          <w:szCs w:val="20"/>
          <w:u w:val="single"/>
          <w:lang w:eastAsia="el-GR"/>
        </w:rPr>
        <w:t xml:space="preserve">Μετά τα όσα συμβαίνουν στις Αγορές Εξισορρόπησης θεωρούμε αυτονόητο πως </w:t>
      </w:r>
      <w:r>
        <w:rPr>
          <w:rFonts w:eastAsia="Times New Roman" w:cstheme="minorHAnsi"/>
          <w:b/>
          <w:bCs/>
          <w:color w:val="222222"/>
          <w:sz w:val="20"/>
          <w:szCs w:val="20"/>
          <w:u w:val="single"/>
          <w:lang w:eastAsia="el-GR"/>
        </w:rPr>
        <w:t xml:space="preserve">όλα </w:t>
      </w:r>
      <w:r w:rsidRPr="001354D3">
        <w:rPr>
          <w:rFonts w:eastAsia="Times New Roman" w:cstheme="minorHAnsi"/>
          <w:b/>
          <w:bCs/>
          <w:color w:val="222222"/>
          <w:sz w:val="20"/>
          <w:szCs w:val="20"/>
          <w:u w:val="single"/>
          <w:lang w:eastAsia="el-GR"/>
        </w:rPr>
        <w:t xml:space="preserve">τα ανωτέρω </w:t>
      </w:r>
      <w:r>
        <w:rPr>
          <w:rFonts w:eastAsia="Times New Roman" w:cstheme="minorHAnsi"/>
          <w:b/>
          <w:bCs/>
          <w:color w:val="222222"/>
          <w:sz w:val="20"/>
          <w:szCs w:val="20"/>
          <w:u w:val="single"/>
          <w:lang w:eastAsia="el-GR"/>
        </w:rPr>
        <w:t xml:space="preserve">μαζί και η προοπτική ενός μόνιμου μηχανισμού αποζημίωσης ευελιξίας </w:t>
      </w:r>
      <w:r w:rsidRPr="001354D3">
        <w:rPr>
          <w:rFonts w:eastAsia="Times New Roman" w:cstheme="minorHAnsi"/>
          <w:b/>
          <w:bCs/>
          <w:color w:val="222222"/>
          <w:sz w:val="20"/>
          <w:szCs w:val="20"/>
          <w:u w:val="single"/>
          <w:lang w:eastAsia="el-GR"/>
        </w:rPr>
        <w:t>θα επανεξεταστούν συνολικά</w:t>
      </w:r>
      <w:r w:rsidR="004A5A54" w:rsidRPr="007F0F9A">
        <w:rPr>
          <w:rFonts w:eastAsia="Times New Roman" w:cstheme="minorHAnsi"/>
          <w:b/>
          <w:bCs/>
          <w:color w:val="222222"/>
          <w:sz w:val="20"/>
          <w:szCs w:val="20"/>
          <w:u w:val="single"/>
          <w:lang w:eastAsia="el-GR"/>
        </w:rPr>
        <w:t>.</w:t>
      </w:r>
      <w:r w:rsidR="004A5A54">
        <w:rPr>
          <w:rFonts w:eastAsia="Times New Roman" w:cstheme="minorHAnsi"/>
          <w:color w:val="222222"/>
          <w:sz w:val="20"/>
          <w:szCs w:val="20"/>
          <w:lang w:eastAsia="el-GR"/>
        </w:rPr>
        <w:t xml:space="preserve">   </w:t>
      </w:r>
      <w:r w:rsidR="00FF684F">
        <w:rPr>
          <w:rFonts w:eastAsia="Times New Roman" w:cstheme="minorHAnsi"/>
          <w:color w:val="222222"/>
          <w:sz w:val="20"/>
          <w:szCs w:val="20"/>
          <w:lang w:eastAsia="el-GR"/>
        </w:rPr>
        <w:t xml:space="preserve">  </w:t>
      </w:r>
    </w:p>
    <w:p w14:paraId="5409226C" w14:textId="722EA697" w:rsidR="00E21CA9" w:rsidRDefault="00E21CA9" w:rsidP="00A25FE3">
      <w:pPr>
        <w:shd w:val="clear" w:color="auto" w:fill="FFFFFF"/>
        <w:spacing w:after="0" w:line="240" w:lineRule="auto"/>
        <w:jc w:val="both"/>
        <w:rPr>
          <w:rFonts w:eastAsia="Times New Roman" w:cstheme="minorHAnsi"/>
          <w:color w:val="222222"/>
          <w:sz w:val="20"/>
          <w:szCs w:val="20"/>
          <w:lang w:eastAsia="el-GR"/>
        </w:rPr>
      </w:pPr>
    </w:p>
    <w:p w14:paraId="02B9F103" w14:textId="6FE7BF14" w:rsidR="005E24DA" w:rsidRDefault="005E24DA" w:rsidP="00A25FE3">
      <w:pPr>
        <w:shd w:val="clear" w:color="auto" w:fill="FFFFFF"/>
        <w:spacing w:after="0" w:line="240" w:lineRule="auto"/>
        <w:jc w:val="both"/>
        <w:rPr>
          <w:rFonts w:eastAsia="Times New Roman" w:cstheme="minorHAnsi"/>
          <w:color w:val="222222"/>
          <w:sz w:val="20"/>
          <w:szCs w:val="20"/>
          <w:lang w:eastAsia="el-GR"/>
        </w:rPr>
      </w:pPr>
    </w:p>
    <w:p w14:paraId="21424991" w14:textId="3ACC1E8E" w:rsidR="005E24DA" w:rsidRPr="007E4161" w:rsidRDefault="005E24DA" w:rsidP="005E24DA">
      <w:pPr>
        <w:shd w:val="clear" w:color="auto" w:fill="FFFFFF"/>
        <w:spacing w:after="0" w:line="240" w:lineRule="auto"/>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 xml:space="preserve">Β. </w:t>
      </w:r>
      <w:r w:rsidR="00AE4B7E">
        <w:rPr>
          <w:rFonts w:eastAsia="Times New Roman" w:cstheme="minorHAnsi"/>
          <w:b/>
          <w:bCs/>
          <w:color w:val="222222"/>
          <w:sz w:val="20"/>
          <w:szCs w:val="20"/>
          <w:u w:val="single"/>
          <w:lang w:eastAsia="el-GR"/>
        </w:rPr>
        <w:t xml:space="preserve">   </w:t>
      </w:r>
      <w:r w:rsidR="00AB4D67">
        <w:rPr>
          <w:rFonts w:eastAsia="Times New Roman" w:cstheme="minorHAnsi"/>
          <w:b/>
          <w:bCs/>
          <w:color w:val="222222"/>
          <w:sz w:val="20"/>
          <w:szCs w:val="20"/>
          <w:u w:val="single"/>
          <w:lang w:eastAsia="el-GR"/>
        </w:rPr>
        <w:t>Τροποποιήσεις</w:t>
      </w:r>
      <w:r w:rsidR="00D22C17">
        <w:rPr>
          <w:rFonts w:eastAsia="Times New Roman" w:cstheme="minorHAnsi"/>
          <w:b/>
          <w:bCs/>
          <w:color w:val="222222"/>
          <w:sz w:val="20"/>
          <w:szCs w:val="20"/>
          <w:u w:val="single"/>
          <w:lang w:eastAsia="el-GR"/>
        </w:rPr>
        <w:t xml:space="preserve"> ε</w:t>
      </w:r>
      <w:r w:rsidRPr="007E4161">
        <w:rPr>
          <w:rFonts w:eastAsia="Times New Roman" w:cstheme="minorHAnsi"/>
          <w:b/>
          <w:bCs/>
          <w:color w:val="222222"/>
          <w:sz w:val="20"/>
          <w:szCs w:val="20"/>
          <w:u w:val="single"/>
          <w:lang w:eastAsia="el-GR"/>
        </w:rPr>
        <w:t xml:space="preserve">πί των Αγορών </w:t>
      </w:r>
      <w:r>
        <w:rPr>
          <w:rFonts w:eastAsia="Times New Roman" w:cstheme="minorHAnsi"/>
          <w:b/>
          <w:bCs/>
          <w:color w:val="222222"/>
          <w:sz w:val="20"/>
          <w:szCs w:val="20"/>
          <w:u w:val="single"/>
          <w:lang w:eastAsia="el-GR"/>
        </w:rPr>
        <w:t>Ισχύος</w:t>
      </w:r>
      <w:r w:rsidRPr="007E4161">
        <w:rPr>
          <w:rFonts w:eastAsia="Times New Roman" w:cstheme="minorHAnsi"/>
          <w:b/>
          <w:bCs/>
          <w:color w:val="222222"/>
          <w:sz w:val="20"/>
          <w:szCs w:val="20"/>
          <w:u w:val="single"/>
          <w:lang w:eastAsia="el-GR"/>
        </w:rPr>
        <w:t xml:space="preserve"> Εξισορρόπησης</w:t>
      </w:r>
    </w:p>
    <w:p w14:paraId="070CFB8C" w14:textId="77777777" w:rsidR="005E24DA" w:rsidRDefault="005E24DA" w:rsidP="005E24DA">
      <w:pPr>
        <w:shd w:val="clear" w:color="auto" w:fill="FFFFFF"/>
        <w:spacing w:after="0" w:line="240" w:lineRule="auto"/>
        <w:jc w:val="both"/>
        <w:rPr>
          <w:rFonts w:eastAsia="Times New Roman" w:cstheme="minorHAnsi"/>
          <w:color w:val="222222"/>
          <w:sz w:val="20"/>
          <w:szCs w:val="20"/>
          <w:lang w:eastAsia="el-GR"/>
        </w:rPr>
      </w:pPr>
    </w:p>
    <w:p w14:paraId="289A5DE6" w14:textId="79A8147A" w:rsidR="005E24DA" w:rsidRDefault="005E24DA" w:rsidP="006D2259">
      <w:pPr>
        <w:pStyle w:val="ListParagraph"/>
        <w:numPr>
          <w:ilvl w:val="0"/>
          <w:numId w:val="41"/>
        </w:numPr>
        <w:shd w:val="clear" w:color="auto" w:fill="FFFFFF"/>
        <w:spacing w:after="0" w:line="240" w:lineRule="auto"/>
        <w:ind w:left="426" w:hanging="284"/>
        <w:jc w:val="both"/>
        <w:rPr>
          <w:rFonts w:eastAsia="Times New Roman" w:cstheme="minorHAnsi"/>
          <w:color w:val="222222"/>
          <w:sz w:val="20"/>
          <w:szCs w:val="20"/>
          <w:lang w:eastAsia="el-GR"/>
        </w:rPr>
      </w:pPr>
      <w:r>
        <w:rPr>
          <w:rFonts w:eastAsia="Times New Roman" w:cstheme="minorHAnsi"/>
          <w:color w:val="222222"/>
          <w:sz w:val="20"/>
          <w:szCs w:val="20"/>
          <w:lang w:eastAsia="el-GR"/>
        </w:rPr>
        <w:t>Οι αγορές αυτές (ανοδική και καθοδική) επιβαρύνουν τους Προμηθευτές (</w:t>
      </w:r>
      <w:r w:rsidR="00074CC2">
        <w:rPr>
          <w:rFonts w:eastAsia="Times New Roman" w:cstheme="minorHAnsi"/>
          <w:color w:val="222222"/>
          <w:sz w:val="20"/>
          <w:szCs w:val="20"/>
          <w:lang w:eastAsia="el-GR"/>
        </w:rPr>
        <w:t>εν τοις πράγμασι</w:t>
      </w:r>
      <w:r>
        <w:rPr>
          <w:rFonts w:eastAsia="Times New Roman" w:cstheme="minorHAnsi"/>
          <w:color w:val="222222"/>
          <w:sz w:val="20"/>
          <w:szCs w:val="20"/>
          <w:lang w:eastAsia="el-GR"/>
        </w:rPr>
        <w:t xml:space="preserve"> τους μη καθετοποιημένους</w:t>
      </w:r>
      <w:r w:rsidR="00CE42D7">
        <w:rPr>
          <w:rFonts w:eastAsia="Times New Roman" w:cstheme="minorHAnsi"/>
          <w:color w:val="222222"/>
          <w:sz w:val="20"/>
          <w:szCs w:val="20"/>
          <w:lang w:eastAsia="el-GR"/>
        </w:rPr>
        <w:t xml:space="preserve"> και που δεν έχουν μονάδες αερίου για να πωλούν τέτοιες υπηρεσίες στο σύστημα</w:t>
      </w:r>
      <w:r>
        <w:rPr>
          <w:rFonts w:eastAsia="Times New Roman" w:cstheme="minorHAnsi"/>
          <w:color w:val="222222"/>
          <w:sz w:val="20"/>
          <w:szCs w:val="20"/>
          <w:lang w:eastAsia="el-GR"/>
        </w:rPr>
        <w:t xml:space="preserve">), ενώ η εκκαθάριση τους είναι </w:t>
      </w:r>
      <w:r w:rsidRPr="007E4161">
        <w:rPr>
          <w:rFonts w:eastAsia="Times New Roman" w:cstheme="minorHAnsi"/>
          <w:color w:val="222222"/>
          <w:sz w:val="20"/>
          <w:szCs w:val="20"/>
          <w:lang w:eastAsia="el-GR"/>
        </w:rPr>
        <w:t>“</w:t>
      </w:r>
      <w:r>
        <w:rPr>
          <w:rFonts w:eastAsia="Times New Roman" w:cstheme="minorHAnsi"/>
          <w:color w:val="222222"/>
          <w:sz w:val="20"/>
          <w:szCs w:val="20"/>
          <w:lang w:val="en-US" w:eastAsia="el-GR"/>
        </w:rPr>
        <w:t>Pay</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as</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Bid</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 xml:space="preserve">και όχι </w:t>
      </w:r>
      <w:r w:rsidRPr="007E4161">
        <w:rPr>
          <w:rFonts w:eastAsia="Times New Roman" w:cstheme="minorHAnsi"/>
          <w:color w:val="222222"/>
          <w:sz w:val="20"/>
          <w:szCs w:val="20"/>
          <w:lang w:eastAsia="el-GR"/>
        </w:rPr>
        <w:t>“</w:t>
      </w:r>
      <w:r>
        <w:rPr>
          <w:rFonts w:eastAsia="Times New Roman" w:cstheme="minorHAnsi"/>
          <w:color w:val="222222"/>
          <w:sz w:val="20"/>
          <w:szCs w:val="20"/>
          <w:lang w:val="en-US" w:eastAsia="el-GR"/>
        </w:rPr>
        <w:t>Pay</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as</w:t>
      </w:r>
      <w:r w:rsidRPr="007E4161">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Cleared</w:t>
      </w:r>
      <w:r w:rsidRPr="007E4161">
        <w:rPr>
          <w:rFonts w:eastAsia="Times New Roman" w:cstheme="minorHAnsi"/>
          <w:color w:val="222222"/>
          <w:sz w:val="20"/>
          <w:szCs w:val="20"/>
          <w:lang w:eastAsia="el-GR"/>
        </w:rPr>
        <w:t>”</w:t>
      </w:r>
      <w:r w:rsidR="00244178">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 xml:space="preserve">και έχουν </w:t>
      </w:r>
      <w:r w:rsidR="00CE42D7">
        <w:rPr>
          <w:rFonts w:eastAsia="Times New Roman" w:cstheme="minorHAnsi"/>
          <w:color w:val="222222"/>
          <w:sz w:val="20"/>
          <w:szCs w:val="20"/>
          <w:lang w:eastAsia="el-GR"/>
        </w:rPr>
        <w:t>εν γένει</w:t>
      </w:r>
      <w:r>
        <w:rPr>
          <w:rFonts w:eastAsia="Times New Roman" w:cstheme="minorHAnsi"/>
          <w:color w:val="222222"/>
          <w:sz w:val="20"/>
          <w:szCs w:val="20"/>
          <w:lang w:eastAsia="el-GR"/>
        </w:rPr>
        <w:t xml:space="preserve"> </w:t>
      </w:r>
      <w:r w:rsidR="002944F4">
        <w:rPr>
          <w:rFonts w:eastAsia="Times New Roman" w:cstheme="minorHAnsi"/>
          <w:color w:val="222222"/>
          <w:sz w:val="20"/>
          <w:szCs w:val="20"/>
          <w:lang w:eastAsia="el-GR"/>
        </w:rPr>
        <w:t xml:space="preserve">σημαντικά </w:t>
      </w:r>
      <w:r>
        <w:rPr>
          <w:rFonts w:eastAsia="Times New Roman" w:cstheme="minorHAnsi"/>
          <w:color w:val="222222"/>
          <w:sz w:val="20"/>
          <w:szCs w:val="20"/>
          <w:lang w:eastAsia="el-GR"/>
        </w:rPr>
        <w:t xml:space="preserve">χαμηλότερο κόστος </w:t>
      </w:r>
      <w:r w:rsidR="008C636D">
        <w:rPr>
          <w:rFonts w:eastAsia="Times New Roman" w:cstheme="minorHAnsi"/>
          <w:color w:val="222222"/>
          <w:sz w:val="20"/>
          <w:szCs w:val="20"/>
          <w:lang w:eastAsia="el-GR"/>
        </w:rPr>
        <w:t>συγκριτικά με</w:t>
      </w:r>
      <w:r>
        <w:rPr>
          <w:rFonts w:eastAsia="Times New Roman" w:cstheme="minorHAnsi"/>
          <w:color w:val="222222"/>
          <w:sz w:val="20"/>
          <w:szCs w:val="20"/>
          <w:lang w:eastAsia="el-GR"/>
        </w:rPr>
        <w:t xml:space="preserve"> τις Αγορές Ενέργειας Εξισορρόπησης. </w:t>
      </w:r>
    </w:p>
    <w:p w14:paraId="190116EA" w14:textId="77777777" w:rsidR="006D2259" w:rsidRDefault="006D2259" w:rsidP="006D2259">
      <w:pPr>
        <w:pStyle w:val="ListParagraph"/>
        <w:shd w:val="clear" w:color="auto" w:fill="FFFFFF"/>
        <w:spacing w:after="0" w:line="240" w:lineRule="auto"/>
        <w:ind w:left="426"/>
        <w:jc w:val="both"/>
        <w:rPr>
          <w:rFonts w:eastAsia="Times New Roman" w:cstheme="minorHAnsi"/>
          <w:color w:val="222222"/>
          <w:sz w:val="20"/>
          <w:szCs w:val="20"/>
          <w:lang w:eastAsia="el-GR"/>
        </w:rPr>
      </w:pPr>
    </w:p>
    <w:p w14:paraId="351ED45A" w14:textId="5D4139D8" w:rsidR="006D2259" w:rsidRPr="005E24DA" w:rsidRDefault="006D2259" w:rsidP="006D2259">
      <w:pPr>
        <w:pStyle w:val="ListParagraph"/>
        <w:numPr>
          <w:ilvl w:val="0"/>
          <w:numId w:val="41"/>
        </w:numPr>
        <w:shd w:val="clear" w:color="auto" w:fill="FFFFFF"/>
        <w:spacing w:after="0" w:line="240" w:lineRule="auto"/>
        <w:ind w:left="426" w:hanging="284"/>
        <w:jc w:val="both"/>
        <w:rPr>
          <w:rFonts w:eastAsia="Times New Roman" w:cstheme="minorHAnsi"/>
          <w:color w:val="222222"/>
          <w:sz w:val="20"/>
          <w:szCs w:val="20"/>
          <w:lang w:eastAsia="el-GR"/>
        </w:rPr>
      </w:pPr>
      <w:r w:rsidRPr="00F943B7">
        <w:rPr>
          <w:rFonts w:eastAsia="Times New Roman" w:cstheme="minorHAnsi"/>
          <w:b/>
          <w:bCs/>
          <w:color w:val="222222"/>
          <w:sz w:val="20"/>
          <w:szCs w:val="20"/>
          <w:u w:val="single"/>
          <w:lang w:eastAsia="el-GR"/>
        </w:rPr>
        <w:t>Συμφωνούμε με την πρόταση σας για περιορισμό των ορίων προσφορών σε αυτές</w:t>
      </w:r>
      <w:r>
        <w:rPr>
          <w:rFonts w:eastAsia="Times New Roman" w:cstheme="minorHAnsi"/>
          <w:color w:val="222222"/>
          <w:sz w:val="20"/>
          <w:szCs w:val="20"/>
          <w:lang w:eastAsia="el-GR"/>
        </w:rPr>
        <w:t xml:space="preserve"> από 0 έως 3,000 ευρώ/</w:t>
      </w:r>
      <w:r>
        <w:rPr>
          <w:rFonts w:eastAsia="Times New Roman" w:cstheme="minorHAnsi"/>
          <w:color w:val="222222"/>
          <w:sz w:val="20"/>
          <w:szCs w:val="20"/>
          <w:lang w:val="en-US" w:eastAsia="el-GR"/>
        </w:rPr>
        <w:t>MW</w:t>
      </w:r>
      <w:r w:rsidRPr="006D2259">
        <w:rPr>
          <w:rFonts w:eastAsia="Times New Roman" w:cstheme="minorHAnsi"/>
          <w:color w:val="222222"/>
          <w:sz w:val="20"/>
          <w:szCs w:val="20"/>
          <w:lang w:eastAsia="el-GR"/>
        </w:rPr>
        <w:t>-</w:t>
      </w:r>
      <w:r>
        <w:rPr>
          <w:rFonts w:eastAsia="Times New Roman" w:cstheme="minorHAnsi"/>
          <w:color w:val="222222"/>
          <w:sz w:val="20"/>
          <w:szCs w:val="20"/>
          <w:lang w:eastAsia="el-GR"/>
        </w:rPr>
        <w:t>ώρα</w:t>
      </w:r>
      <w:r w:rsidRPr="006D2259">
        <w:rPr>
          <w:rFonts w:eastAsia="Times New Roman" w:cstheme="minorHAnsi"/>
          <w:color w:val="222222"/>
          <w:sz w:val="20"/>
          <w:szCs w:val="20"/>
          <w:lang w:eastAsia="el-GR"/>
        </w:rPr>
        <w:t xml:space="preserve"> </w:t>
      </w:r>
      <w:r w:rsidRPr="00F943B7">
        <w:rPr>
          <w:rFonts w:eastAsia="Times New Roman" w:cstheme="minorHAnsi"/>
          <w:b/>
          <w:bCs/>
          <w:color w:val="222222"/>
          <w:sz w:val="20"/>
          <w:szCs w:val="20"/>
          <w:u w:val="single"/>
          <w:lang w:eastAsia="el-GR"/>
        </w:rPr>
        <w:t>σε 0 έως 50 ευρώ/</w:t>
      </w:r>
      <w:r w:rsidRPr="00F943B7">
        <w:rPr>
          <w:rFonts w:eastAsia="Times New Roman" w:cstheme="minorHAnsi"/>
          <w:b/>
          <w:bCs/>
          <w:color w:val="222222"/>
          <w:sz w:val="20"/>
          <w:szCs w:val="20"/>
          <w:u w:val="single"/>
          <w:lang w:val="en-US" w:eastAsia="el-GR"/>
        </w:rPr>
        <w:t>MW</w:t>
      </w:r>
      <w:r w:rsidRPr="00F943B7">
        <w:rPr>
          <w:rFonts w:eastAsia="Times New Roman" w:cstheme="minorHAnsi"/>
          <w:b/>
          <w:bCs/>
          <w:color w:val="222222"/>
          <w:sz w:val="20"/>
          <w:szCs w:val="20"/>
          <w:u w:val="single"/>
          <w:lang w:eastAsia="el-GR"/>
        </w:rPr>
        <w:t>-ώρα</w:t>
      </w:r>
      <w:r>
        <w:rPr>
          <w:rFonts w:eastAsia="Times New Roman" w:cstheme="minorHAnsi"/>
          <w:color w:val="222222"/>
          <w:sz w:val="20"/>
          <w:szCs w:val="20"/>
          <w:lang w:eastAsia="el-GR"/>
        </w:rPr>
        <w:t xml:space="preserve"> </w:t>
      </w:r>
    </w:p>
    <w:p w14:paraId="19A9F3AF" w14:textId="23D7DD9C" w:rsidR="005E24DA" w:rsidRDefault="005E24DA" w:rsidP="006D2259">
      <w:pPr>
        <w:shd w:val="clear" w:color="auto" w:fill="FFFFFF"/>
        <w:spacing w:after="0" w:line="240" w:lineRule="auto"/>
        <w:ind w:left="426" w:hanging="284"/>
        <w:jc w:val="both"/>
        <w:rPr>
          <w:rFonts w:eastAsia="Times New Roman" w:cstheme="minorHAnsi"/>
          <w:color w:val="222222"/>
          <w:sz w:val="20"/>
          <w:szCs w:val="20"/>
          <w:lang w:eastAsia="el-GR"/>
        </w:rPr>
      </w:pPr>
    </w:p>
    <w:p w14:paraId="46FA7D8B" w14:textId="63083826" w:rsidR="001354D3" w:rsidRPr="001354D3" w:rsidRDefault="001354D3" w:rsidP="001354D3">
      <w:pPr>
        <w:pStyle w:val="ListParagraph"/>
        <w:numPr>
          <w:ilvl w:val="0"/>
          <w:numId w:val="41"/>
        </w:numPr>
        <w:shd w:val="clear" w:color="auto" w:fill="FFFFFF"/>
        <w:spacing w:after="0" w:line="240" w:lineRule="auto"/>
        <w:ind w:left="426" w:hanging="284"/>
        <w:jc w:val="both"/>
        <w:rPr>
          <w:rFonts w:eastAsia="Times New Roman" w:cstheme="minorHAnsi"/>
          <w:color w:val="222222"/>
          <w:sz w:val="20"/>
          <w:szCs w:val="20"/>
          <w:lang w:eastAsia="el-GR"/>
        </w:rPr>
      </w:pPr>
      <w:r w:rsidRPr="001354D3">
        <w:rPr>
          <w:rFonts w:eastAsia="Times New Roman" w:cstheme="minorHAnsi"/>
          <w:color w:val="222222"/>
          <w:sz w:val="20"/>
          <w:szCs w:val="20"/>
          <w:lang w:eastAsia="el-GR"/>
        </w:rPr>
        <w:t xml:space="preserve">Με τις υπέρογκες αμοιβές που καταγράφονται στις Αγορές Εξισορρόπησης και που θα συνεχίσουν -λόγω έλλειψης ανταγωνισμού- σε χαμηλότερα μεν επίπεδα να υπάρχουν και υπό τα νέα όρια τιμών, </w:t>
      </w:r>
      <w:r w:rsidRPr="001354D3">
        <w:rPr>
          <w:rFonts w:eastAsia="Times New Roman" w:cstheme="minorHAnsi"/>
          <w:b/>
          <w:bCs/>
          <w:color w:val="222222"/>
          <w:sz w:val="20"/>
          <w:szCs w:val="20"/>
          <w:u w:val="single"/>
          <w:lang w:eastAsia="el-GR"/>
        </w:rPr>
        <w:t>δεν αντιλαμβανόμαστε πως συνδυάζ</w:t>
      </w:r>
      <w:r w:rsidR="008056A4">
        <w:rPr>
          <w:rFonts w:eastAsia="Times New Roman" w:cstheme="minorHAnsi"/>
          <w:b/>
          <w:bCs/>
          <w:color w:val="222222"/>
          <w:sz w:val="20"/>
          <w:szCs w:val="20"/>
          <w:u w:val="single"/>
          <w:lang w:eastAsia="el-GR"/>
        </w:rPr>
        <w:t>ον</w:t>
      </w:r>
      <w:r w:rsidRPr="001354D3">
        <w:rPr>
          <w:rFonts w:eastAsia="Times New Roman" w:cstheme="minorHAnsi"/>
          <w:b/>
          <w:bCs/>
          <w:color w:val="222222"/>
          <w:sz w:val="20"/>
          <w:szCs w:val="20"/>
          <w:u w:val="single"/>
          <w:lang w:eastAsia="el-GR"/>
        </w:rPr>
        <w:t xml:space="preserve">ται και με την ύπαρξη </w:t>
      </w:r>
      <w:r w:rsidR="008056A4">
        <w:rPr>
          <w:rFonts w:eastAsia="Times New Roman" w:cstheme="minorHAnsi"/>
          <w:b/>
          <w:bCs/>
          <w:color w:val="222222"/>
          <w:sz w:val="20"/>
          <w:szCs w:val="20"/>
          <w:u w:val="single"/>
          <w:lang w:eastAsia="el-GR"/>
        </w:rPr>
        <w:t xml:space="preserve">επιπλέον </w:t>
      </w:r>
      <w:r w:rsidRPr="001354D3">
        <w:rPr>
          <w:rFonts w:eastAsia="Times New Roman" w:cstheme="minorHAnsi"/>
          <w:b/>
          <w:bCs/>
          <w:color w:val="222222"/>
          <w:sz w:val="20"/>
          <w:szCs w:val="20"/>
          <w:u w:val="single"/>
          <w:lang w:eastAsia="el-GR"/>
        </w:rPr>
        <w:t>Μεταβατικού Μηχανισμού Αποζημίωσης Ευελιξίας</w:t>
      </w:r>
      <w:r w:rsidRPr="001354D3">
        <w:rPr>
          <w:rFonts w:eastAsia="Times New Roman" w:cstheme="minorHAnsi"/>
          <w:color w:val="222222"/>
          <w:sz w:val="20"/>
          <w:szCs w:val="20"/>
          <w:lang w:eastAsia="el-GR"/>
        </w:rPr>
        <w:t xml:space="preserve"> (ΜΜΑΕ) ο οποίος </w:t>
      </w:r>
      <w:r w:rsidR="008056A4">
        <w:rPr>
          <w:rFonts w:eastAsia="Times New Roman" w:cstheme="minorHAnsi"/>
          <w:color w:val="222222"/>
          <w:sz w:val="20"/>
          <w:szCs w:val="20"/>
          <w:lang w:eastAsia="el-GR"/>
        </w:rPr>
        <w:t>θεσμοθετήθηκε</w:t>
      </w:r>
      <w:r w:rsidRPr="001354D3">
        <w:rPr>
          <w:rFonts w:eastAsia="Times New Roman" w:cstheme="minorHAnsi"/>
          <w:color w:val="222222"/>
          <w:sz w:val="20"/>
          <w:szCs w:val="20"/>
          <w:lang w:eastAsia="el-GR"/>
        </w:rPr>
        <w:t xml:space="preserve"> με την ΥΑ ΔΗΕ/66754/810/2020 – ΦΕΚ Β2852/13-7-20.   Ενός μηχανισμού που </w:t>
      </w:r>
      <w:r w:rsidR="00751686">
        <w:rPr>
          <w:rFonts w:eastAsia="Times New Roman" w:cstheme="minorHAnsi"/>
          <w:color w:val="222222"/>
          <w:sz w:val="20"/>
          <w:szCs w:val="20"/>
          <w:lang w:eastAsia="el-GR"/>
        </w:rPr>
        <w:t xml:space="preserve">θεσπίστηκε </w:t>
      </w:r>
      <w:r w:rsidR="008056A4">
        <w:rPr>
          <w:rFonts w:eastAsia="Times New Roman" w:cstheme="minorHAnsi"/>
          <w:color w:val="222222"/>
          <w:sz w:val="20"/>
          <w:szCs w:val="20"/>
          <w:lang w:eastAsia="el-GR"/>
        </w:rPr>
        <w:t xml:space="preserve">να ισχύει </w:t>
      </w:r>
      <w:r w:rsidR="00751686">
        <w:rPr>
          <w:rFonts w:eastAsia="Times New Roman" w:cstheme="minorHAnsi"/>
          <w:color w:val="222222"/>
          <w:sz w:val="20"/>
          <w:szCs w:val="20"/>
          <w:lang w:eastAsia="el-GR"/>
        </w:rPr>
        <w:t xml:space="preserve">για το διάστημα μέχρι 31/3/21 και που </w:t>
      </w:r>
      <w:r w:rsidRPr="001354D3">
        <w:rPr>
          <w:rFonts w:eastAsia="Times New Roman" w:cstheme="minorHAnsi"/>
          <w:color w:val="222222"/>
          <w:sz w:val="20"/>
          <w:szCs w:val="20"/>
          <w:lang w:eastAsia="el-GR"/>
        </w:rPr>
        <w:t xml:space="preserve">λειτούργησε ήδη </w:t>
      </w:r>
      <w:r w:rsidR="00751686">
        <w:rPr>
          <w:rFonts w:eastAsia="Times New Roman" w:cstheme="minorHAnsi"/>
          <w:color w:val="222222"/>
          <w:sz w:val="20"/>
          <w:szCs w:val="20"/>
          <w:lang w:eastAsia="el-GR"/>
        </w:rPr>
        <w:t>την περίοδο</w:t>
      </w:r>
      <w:r w:rsidRPr="001354D3">
        <w:rPr>
          <w:rFonts w:eastAsia="Times New Roman" w:cstheme="minorHAnsi"/>
          <w:color w:val="222222"/>
          <w:sz w:val="20"/>
          <w:szCs w:val="20"/>
          <w:lang w:eastAsia="el-GR"/>
        </w:rPr>
        <w:t xml:space="preserve"> 15/8-31/10/20 </w:t>
      </w:r>
      <w:r w:rsidR="00751686">
        <w:rPr>
          <w:rFonts w:eastAsia="Times New Roman" w:cstheme="minorHAnsi"/>
          <w:color w:val="222222"/>
          <w:sz w:val="20"/>
          <w:szCs w:val="20"/>
          <w:lang w:eastAsia="el-GR"/>
        </w:rPr>
        <w:t>ό</w:t>
      </w:r>
      <w:r w:rsidRPr="001354D3">
        <w:rPr>
          <w:rFonts w:eastAsia="Times New Roman" w:cstheme="minorHAnsi"/>
          <w:color w:val="222222"/>
          <w:sz w:val="20"/>
          <w:szCs w:val="20"/>
          <w:lang w:eastAsia="el-GR"/>
        </w:rPr>
        <w:t>που εκτός χονδρεμπορικής αγοράς απέδωσε μέσω δημοπρασίας “</w:t>
      </w:r>
      <w:r w:rsidRPr="001354D3">
        <w:rPr>
          <w:rFonts w:eastAsia="Times New Roman" w:cstheme="minorHAnsi"/>
          <w:color w:val="222222"/>
          <w:sz w:val="20"/>
          <w:szCs w:val="20"/>
          <w:lang w:val="en-US" w:eastAsia="el-GR"/>
        </w:rPr>
        <w:t>Pay</w:t>
      </w:r>
      <w:r w:rsidRPr="001354D3">
        <w:rPr>
          <w:rFonts w:eastAsia="Times New Roman" w:cstheme="minorHAnsi"/>
          <w:color w:val="222222"/>
          <w:sz w:val="20"/>
          <w:szCs w:val="20"/>
          <w:lang w:eastAsia="el-GR"/>
        </w:rPr>
        <w:t xml:space="preserve"> </w:t>
      </w:r>
      <w:r w:rsidRPr="001354D3">
        <w:rPr>
          <w:rFonts w:eastAsia="Times New Roman" w:cstheme="minorHAnsi"/>
          <w:color w:val="222222"/>
          <w:sz w:val="20"/>
          <w:szCs w:val="20"/>
          <w:lang w:val="en-US" w:eastAsia="el-GR"/>
        </w:rPr>
        <w:t>as</w:t>
      </w:r>
      <w:r w:rsidRPr="001354D3">
        <w:rPr>
          <w:rFonts w:eastAsia="Times New Roman" w:cstheme="minorHAnsi"/>
          <w:color w:val="222222"/>
          <w:sz w:val="20"/>
          <w:szCs w:val="20"/>
          <w:lang w:eastAsia="el-GR"/>
        </w:rPr>
        <w:t xml:space="preserve"> </w:t>
      </w:r>
      <w:r w:rsidRPr="001354D3">
        <w:rPr>
          <w:rFonts w:eastAsia="Times New Roman" w:cstheme="minorHAnsi"/>
          <w:color w:val="222222"/>
          <w:sz w:val="20"/>
          <w:szCs w:val="20"/>
          <w:lang w:val="en-US" w:eastAsia="el-GR"/>
        </w:rPr>
        <w:t>Bid</w:t>
      </w:r>
      <w:r w:rsidRPr="001354D3">
        <w:rPr>
          <w:rFonts w:eastAsia="Times New Roman" w:cstheme="minorHAnsi"/>
          <w:color w:val="222222"/>
          <w:sz w:val="20"/>
          <w:szCs w:val="20"/>
          <w:lang w:eastAsia="el-GR"/>
        </w:rPr>
        <w:t>”, 39,000 ευρώ/</w:t>
      </w:r>
      <w:r w:rsidRPr="001354D3">
        <w:rPr>
          <w:rFonts w:eastAsia="Times New Roman" w:cstheme="minorHAnsi"/>
          <w:color w:val="222222"/>
          <w:sz w:val="20"/>
          <w:szCs w:val="20"/>
          <w:lang w:val="en-US" w:eastAsia="el-GR"/>
        </w:rPr>
        <w:t>MW</w:t>
      </w:r>
      <w:r w:rsidRPr="001354D3">
        <w:rPr>
          <w:rFonts w:eastAsia="Times New Roman" w:cstheme="minorHAnsi"/>
          <w:color w:val="222222"/>
          <w:sz w:val="20"/>
          <w:szCs w:val="20"/>
          <w:lang w:eastAsia="el-GR"/>
        </w:rPr>
        <w:t xml:space="preserve">/έτος εγκατεστημένης ευέλικτης ισχύος για συνολικό </w:t>
      </w:r>
      <w:r w:rsidRPr="001354D3">
        <w:rPr>
          <w:rFonts w:eastAsia="Times New Roman" w:cstheme="minorHAnsi"/>
          <w:color w:val="222222"/>
          <w:sz w:val="20"/>
          <w:szCs w:val="20"/>
          <w:lang w:val="en-US" w:eastAsia="el-GR"/>
        </w:rPr>
        <w:t>Capacity</w:t>
      </w:r>
      <w:r w:rsidRPr="001354D3">
        <w:rPr>
          <w:rFonts w:eastAsia="Times New Roman" w:cstheme="minorHAnsi"/>
          <w:color w:val="222222"/>
          <w:sz w:val="20"/>
          <w:szCs w:val="20"/>
          <w:lang w:eastAsia="el-GR"/>
        </w:rPr>
        <w:t xml:space="preserve"> 4,500 </w:t>
      </w:r>
      <w:r w:rsidRPr="001354D3">
        <w:rPr>
          <w:rFonts w:eastAsia="Times New Roman" w:cstheme="minorHAnsi"/>
          <w:color w:val="222222"/>
          <w:sz w:val="20"/>
          <w:szCs w:val="20"/>
          <w:lang w:val="en-US" w:eastAsia="el-GR"/>
        </w:rPr>
        <w:t>MW</w:t>
      </w:r>
      <w:r w:rsidRPr="001354D3">
        <w:rPr>
          <w:rFonts w:eastAsia="Times New Roman" w:cstheme="minorHAnsi"/>
          <w:color w:val="222222"/>
          <w:sz w:val="20"/>
          <w:szCs w:val="20"/>
          <w:lang w:eastAsia="el-GR"/>
        </w:rPr>
        <w:t xml:space="preserve"> τέτοιων </w:t>
      </w:r>
      <w:r w:rsidR="006D426E">
        <w:rPr>
          <w:rFonts w:eastAsia="Times New Roman" w:cstheme="minorHAnsi"/>
          <w:color w:val="222222"/>
          <w:sz w:val="20"/>
          <w:szCs w:val="20"/>
          <w:lang w:eastAsia="el-GR"/>
        </w:rPr>
        <w:t xml:space="preserve">κατανεμόμενων </w:t>
      </w:r>
      <w:r w:rsidRPr="001354D3">
        <w:rPr>
          <w:rFonts w:eastAsia="Times New Roman" w:cstheme="minorHAnsi"/>
          <w:color w:val="222222"/>
          <w:sz w:val="20"/>
          <w:szCs w:val="20"/>
          <w:lang w:eastAsia="el-GR"/>
        </w:rPr>
        <w:t xml:space="preserve">μονάδων.  Η δεύτερη μάλιστα δημοπρασία ορίζεται στην ΥΑ πως θα διενεργηθεί το αργότερο εντός των πρώτων επτά (7) εργασίμων ημερών του μήνα, ο οποίος έπεται του μηνός κατά τον οποίο θα λάβει χώρα η εκκίνηση λειτουργίας της αγοράς εξισορρόπησης.  </w:t>
      </w:r>
      <w:r w:rsidRPr="001354D3">
        <w:rPr>
          <w:rFonts w:eastAsia="Times New Roman" w:cstheme="minorHAnsi"/>
          <w:b/>
          <w:bCs/>
          <w:color w:val="222222"/>
          <w:sz w:val="20"/>
          <w:szCs w:val="20"/>
          <w:u w:val="single"/>
          <w:lang w:eastAsia="el-GR"/>
        </w:rPr>
        <w:t xml:space="preserve">Μετά τα όσα συμβαίνουν στις Αγορές Εξισορρόπησης θεωρούμε αυτονόητο πως </w:t>
      </w:r>
      <w:r w:rsidR="008056A4">
        <w:rPr>
          <w:rFonts w:eastAsia="Times New Roman" w:cstheme="minorHAnsi"/>
          <w:b/>
          <w:bCs/>
          <w:color w:val="222222"/>
          <w:sz w:val="20"/>
          <w:szCs w:val="20"/>
          <w:u w:val="single"/>
          <w:lang w:eastAsia="el-GR"/>
        </w:rPr>
        <w:t xml:space="preserve">όλα </w:t>
      </w:r>
      <w:r w:rsidRPr="001354D3">
        <w:rPr>
          <w:rFonts w:eastAsia="Times New Roman" w:cstheme="minorHAnsi"/>
          <w:b/>
          <w:bCs/>
          <w:color w:val="222222"/>
          <w:sz w:val="20"/>
          <w:szCs w:val="20"/>
          <w:u w:val="single"/>
          <w:lang w:eastAsia="el-GR"/>
        </w:rPr>
        <w:t xml:space="preserve">τα ανωτέρω </w:t>
      </w:r>
      <w:r w:rsidR="00751686">
        <w:rPr>
          <w:rFonts w:eastAsia="Times New Roman" w:cstheme="minorHAnsi"/>
          <w:b/>
          <w:bCs/>
          <w:color w:val="222222"/>
          <w:sz w:val="20"/>
          <w:szCs w:val="20"/>
          <w:u w:val="single"/>
          <w:lang w:eastAsia="el-GR"/>
        </w:rPr>
        <w:t xml:space="preserve">μαζί και η προοπτική ενός μόνιμου μηχανισμού αποζημίωσης ευελιξίας </w:t>
      </w:r>
      <w:r w:rsidRPr="001354D3">
        <w:rPr>
          <w:rFonts w:eastAsia="Times New Roman" w:cstheme="minorHAnsi"/>
          <w:b/>
          <w:bCs/>
          <w:color w:val="222222"/>
          <w:sz w:val="20"/>
          <w:szCs w:val="20"/>
          <w:u w:val="single"/>
          <w:lang w:eastAsia="el-GR"/>
        </w:rPr>
        <w:t>θα επανεξεταστούν συνολικά</w:t>
      </w:r>
      <w:r w:rsidR="00751686">
        <w:rPr>
          <w:rFonts w:eastAsia="Times New Roman" w:cstheme="minorHAnsi"/>
          <w:b/>
          <w:bCs/>
          <w:color w:val="222222"/>
          <w:sz w:val="20"/>
          <w:szCs w:val="20"/>
          <w:u w:val="single"/>
          <w:lang w:eastAsia="el-GR"/>
        </w:rPr>
        <w:t>.</w:t>
      </w:r>
      <w:r w:rsidRPr="001354D3">
        <w:rPr>
          <w:rFonts w:eastAsia="Times New Roman" w:cstheme="minorHAnsi"/>
          <w:color w:val="222222"/>
          <w:sz w:val="20"/>
          <w:szCs w:val="20"/>
          <w:lang w:eastAsia="el-GR"/>
        </w:rPr>
        <w:t xml:space="preserve">     </w:t>
      </w:r>
    </w:p>
    <w:p w14:paraId="2B5D7461" w14:textId="38BDC825" w:rsidR="00676735" w:rsidRDefault="00676735" w:rsidP="006D2259">
      <w:pPr>
        <w:shd w:val="clear" w:color="auto" w:fill="FFFFFF"/>
        <w:spacing w:after="0" w:line="240" w:lineRule="auto"/>
        <w:ind w:left="426" w:hanging="284"/>
        <w:jc w:val="both"/>
        <w:rPr>
          <w:rFonts w:eastAsia="Times New Roman" w:cstheme="minorHAnsi"/>
          <w:color w:val="222222"/>
          <w:sz w:val="20"/>
          <w:szCs w:val="20"/>
          <w:lang w:eastAsia="el-GR"/>
        </w:rPr>
      </w:pPr>
    </w:p>
    <w:p w14:paraId="63B40DBA" w14:textId="77777777" w:rsidR="001354D3" w:rsidRDefault="001354D3" w:rsidP="006D2259">
      <w:pPr>
        <w:shd w:val="clear" w:color="auto" w:fill="FFFFFF"/>
        <w:spacing w:after="0" w:line="240" w:lineRule="auto"/>
        <w:ind w:left="426" w:hanging="284"/>
        <w:jc w:val="both"/>
        <w:rPr>
          <w:rFonts w:eastAsia="Times New Roman" w:cstheme="minorHAnsi"/>
          <w:color w:val="222222"/>
          <w:sz w:val="20"/>
          <w:szCs w:val="20"/>
          <w:lang w:eastAsia="el-GR"/>
        </w:rPr>
      </w:pPr>
    </w:p>
    <w:p w14:paraId="23EF67C0" w14:textId="4E40A9A8" w:rsidR="00676735" w:rsidRPr="007E4161" w:rsidRDefault="00676735" w:rsidP="009059DC">
      <w:pPr>
        <w:shd w:val="clear" w:color="auto" w:fill="FFFFFF"/>
        <w:spacing w:after="0" w:line="240" w:lineRule="auto"/>
        <w:ind w:left="284" w:hanging="284"/>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Γ.</w:t>
      </w:r>
      <w:r w:rsidR="00AE4B7E">
        <w:rPr>
          <w:rFonts w:eastAsia="Times New Roman" w:cstheme="minorHAnsi"/>
          <w:b/>
          <w:bCs/>
          <w:color w:val="222222"/>
          <w:sz w:val="20"/>
          <w:szCs w:val="20"/>
          <w:u w:val="single"/>
          <w:lang w:eastAsia="el-GR"/>
        </w:rPr>
        <w:t xml:space="preserve">  </w:t>
      </w:r>
      <w:r>
        <w:rPr>
          <w:rFonts w:eastAsia="Times New Roman" w:cstheme="minorHAnsi"/>
          <w:b/>
          <w:bCs/>
          <w:color w:val="222222"/>
          <w:sz w:val="20"/>
          <w:szCs w:val="20"/>
          <w:u w:val="single"/>
          <w:lang w:eastAsia="el-GR"/>
        </w:rPr>
        <w:t xml:space="preserve"> </w:t>
      </w:r>
      <w:r w:rsidR="009059DC">
        <w:rPr>
          <w:rFonts w:eastAsia="Times New Roman" w:cstheme="minorHAnsi"/>
          <w:b/>
          <w:bCs/>
          <w:color w:val="222222"/>
          <w:sz w:val="20"/>
          <w:szCs w:val="20"/>
          <w:u w:val="single"/>
          <w:lang w:eastAsia="el-GR"/>
        </w:rPr>
        <w:t xml:space="preserve">Αντιλογισμός από 1/11/20 του </w:t>
      </w:r>
      <w:r w:rsidR="003729C8">
        <w:rPr>
          <w:rFonts w:eastAsia="Times New Roman" w:cstheme="minorHAnsi"/>
          <w:b/>
          <w:bCs/>
          <w:color w:val="222222"/>
          <w:sz w:val="20"/>
          <w:szCs w:val="20"/>
          <w:u w:val="single"/>
          <w:lang w:eastAsia="el-GR"/>
        </w:rPr>
        <w:t xml:space="preserve">υπέρογκου </w:t>
      </w:r>
      <w:r>
        <w:rPr>
          <w:rFonts w:eastAsia="Times New Roman" w:cstheme="minorHAnsi"/>
          <w:b/>
          <w:bCs/>
          <w:color w:val="222222"/>
          <w:sz w:val="20"/>
          <w:szCs w:val="20"/>
          <w:u w:val="single"/>
          <w:lang w:eastAsia="el-GR"/>
        </w:rPr>
        <w:t xml:space="preserve">κόστους </w:t>
      </w:r>
      <w:r w:rsidR="009059DC">
        <w:rPr>
          <w:rFonts w:eastAsia="Times New Roman" w:cstheme="minorHAnsi"/>
          <w:b/>
          <w:bCs/>
          <w:color w:val="222222"/>
          <w:sz w:val="20"/>
          <w:szCs w:val="20"/>
          <w:u w:val="single"/>
          <w:lang w:eastAsia="el-GR"/>
        </w:rPr>
        <w:t xml:space="preserve">εξισορρόπησης και επιστροφή χρημάτων </w:t>
      </w:r>
      <w:r>
        <w:rPr>
          <w:rFonts w:eastAsia="Times New Roman" w:cstheme="minorHAnsi"/>
          <w:b/>
          <w:bCs/>
          <w:color w:val="222222"/>
          <w:sz w:val="20"/>
          <w:szCs w:val="20"/>
          <w:u w:val="single"/>
          <w:lang w:eastAsia="el-GR"/>
        </w:rPr>
        <w:t xml:space="preserve">σε </w:t>
      </w:r>
      <w:r w:rsidR="003729C8">
        <w:rPr>
          <w:rFonts w:eastAsia="Times New Roman" w:cstheme="minorHAnsi"/>
          <w:b/>
          <w:bCs/>
          <w:color w:val="222222"/>
          <w:sz w:val="20"/>
          <w:szCs w:val="20"/>
          <w:u w:val="single"/>
          <w:lang w:eastAsia="el-GR"/>
        </w:rPr>
        <w:t xml:space="preserve">ΕΛΑΠΕ και </w:t>
      </w:r>
      <w:r>
        <w:rPr>
          <w:rFonts w:eastAsia="Times New Roman" w:cstheme="minorHAnsi"/>
          <w:b/>
          <w:bCs/>
          <w:color w:val="222222"/>
          <w:sz w:val="20"/>
          <w:szCs w:val="20"/>
          <w:u w:val="single"/>
          <w:lang w:eastAsia="el-GR"/>
        </w:rPr>
        <w:t xml:space="preserve">Προμηθευτές </w:t>
      </w:r>
    </w:p>
    <w:p w14:paraId="326BF2B1" w14:textId="77777777" w:rsidR="00676735" w:rsidRDefault="00676735" w:rsidP="00676735">
      <w:pPr>
        <w:shd w:val="clear" w:color="auto" w:fill="FFFFFF"/>
        <w:spacing w:after="0" w:line="240" w:lineRule="auto"/>
        <w:jc w:val="both"/>
        <w:rPr>
          <w:rFonts w:eastAsia="Times New Roman" w:cstheme="minorHAnsi"/>
          <w:color w:val="222222"/>
          <w:sz w:val="20"/>
          <w:szCs w:val="20"/>
          <w:lang w:eastAsia="el-GR"/>
        </w:rPr>
      </w:pPr>
    </w:p>
    <w:p w14:paraId="226F79A0" w14:textId="0F078D59" w:rsidR="00BF222D" w:rsidRPr="00BF222D" w:rsidRDefault="009059DC" w:rsidP="00676735">
      <w:pPr>
        <w:pStyle w:val="ListParagraph"/>
        <w:numPr>
          <w:ilvl w:val="0"/>
          <w:numId w:val="44"/>
        </w:numPr>
        <w:spacing w:after="0" w:line="240" w:lineRule="auto"/>
        <w:ind w:left="426" w:hanging="284"/>
        <w:jc w:val="both"/>
        <w:rPr>
          <w:rFonts w:cstheme="minorHAnsi"/>
        </w:rPr>
      </w:pPr>
      <w:r w:rsidRPr="00447A51">
        <w:rPr>
          <w:rFonts w:eastAsia="Times New Roman" w:cstheme="minorHAnsi"/>
          <w:b/>
          <w:bCs/>
          <w:color w:val="222222"/>
          <w:sz w:val="20"/>
          <w:szCs w:val="20"/>
          <w:u w:val="single"/>
          <w:lang w:eastAsia="el-GR"/>
        </w:rPr>
        <w:t xml:space="preserve">Αιτούμαστε τον αντιλογισμό του κόστους Ενέργειας Εξισορρόπησης αλλά και Ισχύος, </w:t>
      </w:r>
      <w:r w:rsidRPr="00447A51">
        <w:rPr>
          <w:rFonts w:eastAsia="Times New Roman" w:cstheme="minorHAnsi"/>
          <w:color w:val="222222"/>
          <w:sz w:val="20"/>
          <w:szCs w:val="20"/>
          <w:lang w:eastAsia="el-GR"/>
        </w:rPr>
        <w:t>σύμφωνα με τα νέα χαμηλά όρια που θα θεσπίσετε για τις αγορές αυτές, δηλαδή τον επανυπολογισμό των αγορών αυτών από 1/11/20</w:t>
      </w:r>
      <w:r w:rsidR="002944F4">
        <w:rPr>
          <w:rFonts w:eastAsia="Times New Roman" w:cstheme="minorHAnsi"/>
          <w:color w:val="222222"/>
          <w:sz w:val="20"/>
          <w:szCs w:val="20"/>
          <w:lang w:eastAsia="el-GR"/>
        </w:rPr>
        <w:t xml:space="preserve"> με τα νέα όρια</w:t>
      </w:r>
      <w:r w:rsidRPr="00447A51">
        <w:rPr>
          <w:rFonts w:eastAsia="Times New Roman" w:cstheme="minorHAnsi"/>
          <w:color w:val="222222"/>
          <w:sz w:val="20"/>
          <w:szCs w:val="20"/>
          <w:lang w:eastAsia="el-GR"/>
        </w:rPr>
        <w:t>,</w:t>
      </w:r>
      <w:r>
        <w:rPr>
          <w:rFonts w:eastAsia="Times New Roman" w:cstheme="minorHAnsi"/>
          <w:color w:val="222222"/>
          <w:sz w:val="20"/>
          <w:szCs w:val="20"/>
          <w:lang w:eastAsia="el-GR"/>
        </w:rPr>
        <w:t xml:space="preserve"> ούτως ώστε να επιστραφεί το </w:t>
      </w:r>
      <w:r w:rsidR="00447A51">
        <w:rPr>
          <w:rFonts w:eastAsia="Times New Roman" w:cstheme="minorHAnsi"/>
          <w:color w:val="222222"/>
          <w:sz w:val="20"/>
          <w:szCs w:val="20"/>
          <w:lang w:eastAsia="el-GR"/>
        </w:rPr>
        <w:t>συντριπτικό</w:t>
      </w:r>
      <w:r>
        <w:rPr>
          <w:rFonts w:eastAsia="Times New Roman" w:cstheme="minorHAnsi"/>
          <w:color w:val="222222"/>
          <w:sz w:val="20"/>
          <w:szCs w:val="20"/>
          <w:lang w:eastAsia="el-GR"/>
        </w:rPr>
        <w:t xml:space="preserve"> μέρος από τα 140 εκατ. ευρώ που </w:t>
      </w:r>
      <w:r w:rsidR="00447A51">
        <w:rPr>
          <w:rFonts w:eastAsia="Times New Roman" w:cstheme="minorHAnsi"/>
          <w:color w:val="222222"/>
          <w:sz w:val="20"/>
          <w:szCs w:val="20"/>
          <w:lang w:eastAsia="el-GR"/>
        </w:rPr>
        <w:t>δαπανήθηκαν</w:t>
      </w:r>
      <w:r>
        <w:rPr>
          <w:rFonts w:eastAsia="Times New Roman" w:cstheme="minorHAnsi"/>
          <w:color w:val="222222"/>
          <w:sz w:val="20"/>
          <w:szCs w:val="20"/>
          <w:lang w:eastAsia="el-GR"/>
        </w:rPr>
        <w:t xml:space="preserve"> στις αγορές αυτές σε μόλις 43 ημέρες, για υπηρεσίες εξισορρόπησης που κατά τα άλλα όλα τα προηγούμενα χρόνια παρέχονταν στο σύστημα με κόστος ~200 εκατ. ευρώ</w:t>
      </w:r>
      <w:r w:rsidR="00447A51">
        <w:rPr>
          <w:rFonts w:eastAsia="Times New Roman" w:cstheme="minorHAnsi"/>
          <w:color w:val="222222"/>
          <w:sz w:val="20"/>
          <w:szCs w:val="20"/>
          <w:lang w:eastAsia="el-GR"/>
        </w:rPr>
        <w:t>/έτος</w:t>
      </w:r>
      <w:r>
        <w:rPr>
          <w:rFonts w:eastAsia="Times New Roman" w:cstheme="minorHAnsi"/>
          <w:color w:val="222222"/>
          <w:sz w:val="20"/>
          <w:szCs w:val="20"/>
          <w:lang w:eastAsia="el-GR"/>
        </w:rPr>
        <w:t xml:space="preserve">.  </w:t>
      </w:r>
      <w:r w:rsidRPr="00447A51">
        <w:rPr>
          <w:rFonts w:eastAsia="Times New Roman" w:cstheme="minorHAnsi"/>
          <w:b/>
          <w:bCs/>
          <w:color w:val="222222"/>
          <w:sz w:val="20"/>
          <w:szCs w:val="20"/>
          <w:u w:val="single"/>
          <w:lang w:eastAsia="el-GR"/>
        </w:rPr>
        <w:t xml:space="preserve">Με τον τρόπο αυτό ο ΕΛΑΠΕ </w:t>
      </w:r>
      <w:r w:rsidR="00447A51" w:rsidRPr="00447A51">
        <w:rPr>
          <w:rFonts w:eastAsia="Times New Roman" w:cstheme="minorHAnsi"/>
          <w:b/>
          <w:bCs/>
          <w:color w:val="222222"/>
          <w:sz w:val="20"/>
          <w:szCs w:val="20"/>
          <w:u w:val="single"/>
          <w:lang w:eastAsia="el-GR"/>
        </w:rPr>
        <w:t>αλλά</w:t>
      </w:r>
      <w:r w:rsidR="00BF222D" w:rsidRPr="00447A51">
        <w:rPr>
          <w:rFonts w:eastAsia="Times New Roman" w:cstheme="minorHAnsi"/>
          <w:b/>
          <w:bCs/>
          <w:color w:val="222222"/>
          <w:sz w:val="20"/>
          <w:szCs w:val="20"/>
          <w:u w:val="single"/>
          <w:lang w:eastAsia="el-GR"/>
        </w:rPr>
        <w:t xml:space="preserve"> και οι Προμηθευτές (</w:t>
      </w:r>
      <w:r w:rsidR="00447A51" w:rsidRPr="00447A51">
        <w:rPr>
          <w:rFonts w:eastAsia="Times New Roman" w:cstheme="minorHAnsi"/>
          <w:b/>
          <w:bCs/>
          <w:color w:val="222222"/>
          <w:sz w:val="20"/>
          <w:szCs w:val="20"/>
          <w:u w:val="single"/>
          <w:lang w:eastAsia="el-GR"/>
        </w:rPr>
        <w:t>εν τοις πράγμασι</w:t>
      </w:r>
      <w:r w:rsidR="00BF222D" w:rsidRPr="00447A51">
        <w:rPr>
          <w:rFonts w:eastAsia="Times New Roman" w:cstheme="minorHAnsi"/>
          <w:b/>
          <w:bCs/>
          <w:color w:val="222222"/>
          <w:sz w:val="20"/>
          <w:szCs w:val="20"/>
          <w:u w:val="single"/>
          <w:lang w:eastAsia="el-GR"/>
        </w:rPr>
        <w:t xml:space="preserve"> οι μη καθετοποημένοι) </w:t>
      </w:r>
      <w:r w:rsidRPr="00447A51">
        <w:rPr>
          <w:rFonts w:eastAsia="Times New Roman" w:cstheme="minorHAnsi"/>
          <w:b/>
          <w:bCs/>
          <w:color w:val="222222"/>
          <w:sz w:val="20"/>
          <w:szCs w:val="20"/>
          <w:u w:val="single"/>
          <w:lang w:eastAsia="el-GR"/>
        </w:rPr>
        <w:t>θα λάβ</w:t>
      </w:r>
      <w:r w:rsidR="00BF222D" w:rsidRPr="00447A51">
        <w:rPr>
          <w:rFonts w:eastAsia="Times New Roman" w:cstheme="minorHAnsi"/>
          <w:b/>
          <w:bCs/>
          <w:color w:val="222222"/>
          <w:sz w:val="20"/>
          <w:szCs w:val="20"/>
          <w:u w:val="single"/>
          <w:lang w:eastAsia="el-GR"/>
        </w:rPr>
        <w:t>ουν π</w:t>
      </w:r>
      <w:r w:rsidRPr="00447A51">
        <w:rPr>
          <w:rFonts w:eastAsia="Times New Roman" w:cstheme="minorHAnsi"/>
          <w:b/>
          <w:bCs/>
          <w:color w:val="222222"/>
          <w:sz w:val="20"/>
          <w:szCs w:val="20"/>
          <w:u w:val="single"/>
          <w:lang w:eastAsia="el-GR"/>
        </w:rPr>
        <w:t xml:space="preserve">ίσω χρήματα που </w:t>
      </w:r>
      <w:r w:rsidR="00BF222D" w:rsidRPr="00447A51">
        <w:rPr>
          <w:rFonts w:eastAsia="Times New Roman" w:cstheme="minorHAnsi"/>
          <w:b/>
          <w:bCs/>
          <w:color w:val="222222"/>
          <w:sz w:val="20"/>
          <w:szCs w:val="20"/>
          <w:u w:val="single"/>
          <w:lang w:eastAsia="el-GR"/>
        </w:rPr>
        <w:t>εξαρχής δεν θα έπρεπε υπέρογκα να τους έχουν χρεωθεί.</w:t>
      </w:r>
    </w:p>
    <w:p w14:paraId="3B964E9B" w14:textId="77777777" w:rsidR="00BF222D" w:rsidRPr="00BF222D" w:rsidRDefault="00BF222D" w:rsidP="00BF222D">
      <w:pPr>
        <w:pStyle w:val="ListParagraph"/>
        <w:spacing w:after="0" w:line="240" w:lineRule="auto"/>
        <w:ind w:left="426"/>
        <w:jc w:val="both"/>
        <w:rPr>
          <w:rFonts w:cstheme="minorHAnsi"/>
        </w:rPr>
      </w:pPr>
    </w:p>
    <w:p w14:paraId="7F5E04E7" w14:textId="3D8DD57F" w:rsidR="00A25FE3" w:rsidRPr="00676735" w:rsidRDefault="00BF222D" w:rsidP="00676735">
      <w:pPr>
        <w:pStyle w:val="ListParagraph"/>
        <w:numPr>
          <w:ilvl w:val="0"/>
          <w:numId w:val="44"/>
        </w:numPr>
        <w:spacing w:after="0" w:line="240" w:lineRule="auto"/>
        <w:ind w:left="426" w:hanging="284"/>
        <w:jc w:val="both"/>
        <w:rPr>
          <w:rFonts w:cstheme="minorHAnsi"/>
        </w:rPr>
      </w:pPr>
      <w:r>
        <w:rPr>
          <w:rFonts w:eastAsia="Times New Roman" w:cstheme="minorHAnsi"/>
          <w:color w:val="222222"/>
          <w:sz w:val="20"/>
          <w:szCs w:val="20"/>
          <w:lang w:eastAsia="el-GR"/>
        </w:rPr>
        <w:t>Υπενθυμίζουμε πως σε ανάλογη περίπτωση με την έναρξη λειτουργίας του μηχανισμού της Χρέωσης Προμηθευτή (ΠΧΕΦΕΛ) τον Οκτώβριο του 2016, η ΡΑΕ τέσσερις μήνες αργό</w:t>
      </w:r>
      <w:r w:rsidR="00E66459">
        <w:rPr>
          <w:rFonts w:eastAsia="Times New Roman" w:cstheme="minorHAnsi"/>
          <w:color w:val="222222"/>
          <w:sz w:val="20"/>
          <w:szCs w:val="20"/>
          <w:lang w:eastAsia="el-GR"/>
        </w:rPr>
        <w:t>τ</w:t>
      </w:r>
      <w:r>
        <w:rPr>
          <w:rFonts w:eastAsia="Times New Roman" w:cstheme="minorHAnsi"/>
          <w:color w:val="222222"/>
          <w:sz w:val="20"/>
          <w:szCs w:val="20"/>
          <w:lang w:eastAsia="el-GR"/>
        </w:rPr>
        <w:t xml:space="preserve">ερα, με τις αποφάσεις της </w:t>
      </w:r>
      <w:r w:rsidR="002944F4">
        <w:rPr>
          <w:rFonts w:eastAsia="Times New Roman" w:cstheme="minorHAnsi"/>
          <w:color w:val="222222"/>
          <w:sz w:val="20"/>
          <w:szCs w:val="20"/>
          <w:lang w:eastAsia="el-GR"/>
        </w:rPr>
        <w:t xml:space="preserve">υπ. αριθμ. </w:t>
      </w:r>
      <w:r>
        <w:rPr>
          <w:rFonts w:eastAsia="Times New Roman" w:cstheme="minorHAnsi"/>
          <w:color w:val="222222"/>
          <w:sz w:val="20"/>
          <w:szCs w:val="20"/>
          <w:lang w:eastAsia="el-GR"/>
        </w:rPr>
        <w:t xml:space="preserve">149 και 150/2017 από 16/2/17 </w:t>
      </w:r>
      <w:r w:rsidR="002944F4">
        <w:rPr>
          <w:rFonts w:eastAsia="Times New Roman" w:cstheme="minorHAnsi"/>
          <w:color w:val="222222"/>
          <w:sz w:val="20"/>
          <w:szCs w:val="20"/>
          <w:lang w:eastAsia="el-GR"/>
        </w:rPr>
        <w:t>καθορίζοντας</w:t>
      </w:r>
      <w:r>
        <w:rPr>
          <w:rFonts w:eastAsia="Times New Roman" w:cstheme="minorHAnsi"/>
          <w:color w:val="222222"/>
          <w:sz w:val="20"/>
          <w:szCs w:val="20"/>
          <w:lang w:eastAsia="el-GR"/>
        </w:rPr>
        <w:t xml:space="preserve"> χαμηλό ωριαίο πλαφόν για την ΠΧΕΦΕΛ, αντιλόγισε το κόστος αναδρομικά από 1/1</w:t>
      </w:r>
      <w:r w:rsidR="00E66459" w:rsidRPr="00E66459">
        <w:rPr>
          <w:rFonts w:eastAsia="Times New Roman" w:cstheme="minorHAnsi"/>
          <w:color w:val="222222"/>
          <w:sz w:val="20"/>
          <w:szCs w:val="20"/>
          <w:lang w:eastAsia="el-GR"/>
        </w:rPr>
        <w:t>0</w:t>
      </w:r>
      <w:r>
        <w:rPr>
          <w:rFonts w:eastAsia="Times New Roman" w:cstheme="minorHAnsi"/>
          <w:color w:val="222222"/>
          <w:sz w:val="20"/>
          <w:szCs w:val="20"/>
          <w:lang w:eastAsia="el-GR"/>
        </w:rPr>
        <w:t xml:space="preserve">/16 και επεστράφησαν τα ανάλογα ποσά </w:t>
      </w:r>
      <w:r w:rsidR="009E1CA4">
        <w:rPr>
          <w:rFonts w:eastAsia="Times New Roman" w:cstheme="minorHAnsi"/>
          <w:color w:val="222222"/>
          <w:sz w:val="20"/>
          <w:szCs w:val="20"/>
          <w:lang w:eastAsia="el-GR"/>
        </w:rPr>
        <w:t xml:space="preserve">από τον ΕΛΑΠΕ </w:t>
      </w:r>
      <w:r>
        <w:rPr>
          <w:rFonts w:eastAsia="Times New Roman" w:cstheme="minorHAnsi"/>
          <w:color w:val="222222"/>
          <w:sz w:val="20"/>
          <w:szCs w:val="20"/>
          <w:lang w:eastAsia="el-GR"/>
        </w:rPr>
        <w:t xml:space="preserve">στους Προμηθευτές. </w:t>
      </w:r>
      <w:r w:rsidR="004F5960">
        <w:rPr>
          <w:rFonts w:eastAsia="Times New Roman" w:cstheme="minorHAnsi"/>
          <w:color w:val="222222"/>
          <w:sz w:val="20"/>
          <w:szCs w:val="20"/>
          <w:lang w:eastAsia="el-GR"/>
        </w:rPr>
        <w:t xml:space="preserve"> Επιπροσθέτως, με την εκπνοή του μηχανισμού της ΠΧΕΦΕΛ στο τέλος του 2018 επεστράφη και το αχρησιμοποίητο πλεόνασμα 121,4 εκατ. ευρώ του ΕΛΑΠΕ στους Προμηθευτές.</w:t>
      </w:r>
      <w:r>
        <w:rPr>
          <w:rFonts w:eastAsia="Times New Roman" w:cstheme="minorHAnsi"/>
          <w:color w:val="222222"/>
          <w:sz w:val="20"/>
          <w:szCs w:val="20"/>
          <w:lang w:eastAsia="el-GR"/>
        </w:rPr>
        <w:t xml:space="preserve">  </w:t>
      </w:r>
      <w:r w:rsidR="009059DC">
        <w:rPr>
          <w:rFonts w:eastAsia="Times New Roman" w:cstheme="minorHAnsi"/>
          <w:color w:val="222222"/>
          <w:sz w:val="20"/>
          <w:szCs w:val="20"/>
          <w:lang w:eastAsia="el-GR"/>
        </w:rPr>
        <w:t xml:space="preserve">  </w:t>
      </w:r>
    </w:p>
    <w:p w14:paraId="081AF9FD" w14:textId="7A81EB24" w:rsidR="00676735" w:rsidRDefault="00676735" w:rsidP="009851D8">
      <w:pPr>
        <w:spacing w:after="0" w:line="240" w:lineRule="auto"/>
        <w:ind w:left="284" w:hanging="284"/>
        <w:jc w:val="both"/>
        <w:rPr>
          <w:rFonts w:cstheme="minorHAnsi"/>
        </w:rPr>
      </w:pPr>
    </w:p>
    <w:p w14:paraId="05B4C93F" w14:textId="77777777" w:rsidR="00124603" w:rsidRDefault="00124603" w:rsidP="00427173">
      <w:pPr>
        <w:shd w:val="clear" w:color="auto" w:fill="FFFFFF"/>
        <w:spacing w:after="0" w:line="240" w:lineRule="auto"/>
        <w:ind w:left="426" w:hanging="426"/>
        <w:jc w:val="both"/>
        <w:rPr>
          <w:rFonts w:eastAsia="Times New Roman" w:cstheme="minorHAnsi"/>
          <w:b/>
          <w:bCs/>
          <w:color w:val="222222"/>
          <w:sz w:val="20"/>
          <w:szCs w:val="20"/>
          <w:u w:val="single"/>
          <w:lang w:eastAsia="el-GR"/>
        </w:rPr>
      </w:pPr>
    </w:p>
    <w:p w14:paraId="57B07442" w14:textId="149726B6" w:rsidR="00C33AB9" w:rsidRPr="00C33AB9" w:rsidRDefault="00B57588" w:rsidP="00427173">
      <w:pPr>
        <w:shd w:val="clear" w:color="auto" w:fill="FFFFFF"/>
        <w:spacing w:after="0" w:line="240" w:lineRule="auto"/>
        <w:ind w:left="426" w:hanging="426"/>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Δ</w:t>
      </w:r>
      <w:r w:rsidR="00C33AB9">
        <w:rPr>
          <w:rFonts w:eastAsia="Times New Roman" w:cstheme="minorHAnsi"/>
          <w:b/>
          <w:bCs/>
          <w:color w:val="222222"/>
          <w:sz w:val="20"/>
          <w:szCs w:val="20"/>
          <w:u w:val="single"/>
          <w:lang w:eastAsia="el-GR"/>
        </w:rPr>
        <w:t xml:space="preserve">. </w:t>
      </w:r>
      <w:r w:rsidR="00427173">
        <w:rPr>
          <w:rFonts w:eastAsia="Times New Roman" w:cstheme="minorHAnsi"/>
          <w:b/>
          <w:bCs/>
          <w:color w:val="222222"/>
          <w:sz w:val="20"/>
          <w:szCs w:val="20"/>
          <w:u w:val="single"/>
          <w:lang w:eastAsia="el-GR"/>
        </w:rPr>
        <w:t xml:space="preserve"> </w:t>
      </w:r>
      <w:r w:rsidR="00546C82">
        <w:rPr>
          <w:rFonts w:eastAsia="Times New Roman" w:cstheme="minorHAnsi"/>
          <w:b/>
          <w:bCs/>
          <w:color w:val="222222"/>
          <w:sz w:val="20"/>
          <w:szCs w:val="20"/>
          <w:u w:val="single"/>
          <w:lang w:eastAsia="el-GR"/>
        </w:rPr>
        <w:t>Α</w:t>
      </w:r>
      <w:r w:rsidR="00427173">
        <w:rPr>
          <w:rFonts w:eastAsia="Times New Roman" w:cstheme="minorHAnsi"/>
          <w:b/>
          <w:bCs/>
          <w:color w:val="222222"/>
          <w:sz w:val="20"/>
          <w:szCs w:val="20"/>
          <w:u w:val="single"/>
          <w:lang w:eastAsia="el-GR"/>
        </w:rPr>
        <w:t xml:space="preserve">παλλαγή του </w:t>
      </w:r>
      <w:r w:rsidR="0081628B">
        <w:rPr>
          <w:rFonts w:eastAsia="Times New Roman" w:cstheme="minorHAnsi"/>
          <w:b/>
          <w:bCs/>
          <w:color w:val="222222"/>
          <w:sz w:val="20"/>
          <w:szCs w:val="20"/>
          <w:u w:val="single"/>
          <w:lang w:eastAsia="el-GR"/>
        </w:rPr>
        <w:t>χαρτοφυλακίου ΑΠΕ με ΣΠΗΕ και ΣΕΣΤ</w:t>
      </w:r>
      <w:r w:rsidR="00427173">
        <w:rPr>
          <w:rFonts w:eastAsia="Times New Roman" w:cstheme="minorHAnsi"/>
          <w:b/>
          <w:bCs/>
          <w:color w:val="222222"/>
          <w:sz w:val="20"/>
          <w:szCs w:val="20"/>
          <w:u w:val="single"/>
          <w:lang w:eastAsia="el-GR"/>
        </w:rPr>
        <w:t xml:space="preserve"> </w:t>
      </w:r>
      <w:r w:rsidR="0048664A">
        <w:rPr>
          <w:rFonts w:eastAsia="Times New Roman" w:cstheme="minorHAnsi"/>
          <w:b/>
          <w:bCs/>
          <w:color w:val="222222"/>
          <w:sz w:val="20"/>
          <w:szCs w:val="20"/>
          <w:u w:val="single"/>
          <w:lang w:eastAsia="el-GR"/>
        </w:rPr>
        <w:t xml:space="preserve">του ΔΑΠΕΕΠ </w:t>
      </w:r>
      <w:r w:rsidR="00427173">
        <w:rPr>
          <w:rFonts w:eastAsia="Times New Roman" w:cstheme="minorHAnsi"/>
          <w:b/>
          <w:bCs/>
          <w:color w:val="222222"/>
          <w:sz w:val="20"/>
          <w:szCs w:val="20"/>
          <w:u w:val="single"/>
          <w:lang w:eastAsia="el-GR"/>
        </w:rPr>
        <w:t xml:space="preserve">από </w:t>
      </w:r>
      <w:r w:rsidR="0048664A">
        <w:rPr>
          <w:rFonts w:eastAsia="Times New Roman" w:cstheme="minorHAnsi"/>
          <w:b/>
          <w:bCs/>
          <w:color w:val="222222"/>
          <w:sz w:val="20"/>
          <w:szCs w:val="20"/>
          <w:u w:val="single"/>
          <w:lang w:eastAsia="el-GR"/>
        </w:rPr>
        <w:t>υπο</w:t>
      </w:r>
      <w:r w:rsidR="00427173">
        <w:rPr>
          <w:rFonts w:eastAsia="Times New Roman" w:cstheme="minorHAnsi"/>
          <w:b/>
          <w:bCs/>
          <w:color w:val="222222"/>
          <w:sz w:val="20"/>
          <w:szCs w:val="20"/>
          <w:u w:val="single"/>
          <w:lang w:eastAsia="el-GR"/>
        </w:rPr>
        <w:t xml:space="preserve">χρεώσεις εξισορρόπησης </w:t>
      </w:r>
    </w:p>
    <w:p w14:paraId="2768EA0F" w14:textId="77777777" w:rsidR="00C33AB9" w:rsidRDefault="00C33AB9" w:rsidP="00C33AB9">
      <w:pPr>
        <w:shd w:val="clear" w:color="auto" w:fill="FFFFFF"/>
        <w:spacing w:after="0" w:line="240" w:lineRule="auto"/>
        <w:jc w:val="both"/>
        <w:rPr>
          <w:rFonts w:eastAsia="Times New Roman" w:cstheme="minorHAnsi"/>
          <w:color w:val="222222"/>
          <w:sz w:val="20"/>
          <w:szCs w:val="20"/>
          <w:lang w:eastAsia="el-GR"/>
        </w:rPr>
      </w:pPr>
    </w:p>
    <w:p w14:paraId="7C295610" w14:textId="1FC92B3C" w:rsidR="00E5380A" w:rsidRPr="007C6B0E" w:rsidRDefault="007C6B0E" w:rsidP="007C6B0E">
      <w:pPr>
        <w:pStyle w:val="ListParagraph"/>
        <w:numPr>
          <w:ilvl w:val="0"/>
          <w:numId w:val="43"/>
        </w:numPr>
        <w:shd w:val="clear" w:color="auto" w:fill="FFFFFF"/>
        <w:spacing w:after="0" w:line="240" w:lineRule="auto"/>
        <w:ind w:left="426" w:hanging="284"/>
        <w:jc w:val="both"/>
        <w:rPr>
          <w:sz w:val="20"/>
          <w:szCs w:val="20"/>
        </w:rPr>
      </w:pPr>
      <w:r w:rsidRPr="007C6B0E">
        <w:rPr>
          <w:sz w:val="20"/>
          <w:szCs w:val="20"/>
        </w:rPr>
        <w:t>Το</w:t>
      </w:r>
      <w:r w:rsidR="00E5380A" w:rsidRPr="007C6B0E">
        <w:rPr>
          <w:sz w:val="20"/>
          <w:szCs w:val="20"/>
        </w:rPr>
        <w:t xml:space="preserve"> κόστος εξισορρόπησης για τις ΑΠΕ </w:t>
      </w:r>
      <w:r w:rsidR="0081628B">
        <w:rPr>
          <w:sz w:val="20"/>
          <w:szCs w:val="20"/>
        </w:rPr>
        <w:t xml:space="preserve">και τα χαρτοφυλάκια τους </w:t>
      </w:r>
      <w:r w:rsidRPr="007C6B0E">
        <w:rPr>
          <w:sz w:val="20"/>
          <w:szCs w:val="20"/>
        </w:rPr>
        <w:t>δεν πρέπει</w:t>
      </w:r>
      <w:r w:rsidR="00E5380A" w:rsidRPr="007C6B0E">
        <w:rPr>
          <w:sz w:val="20"/>
          <w:szCs w:val="20"/>
        </w:rPr>
        <w:t xml:space="preserve"> να συγχέεται εσφαλμένα με τις συνολικές αποκλίσεις</w:t>
      </w:r>
      <w:r w:rsidRPr="007C6B0E">
        <w:rPr>
          <w:sz w:val="20"/>
          <w:szCs w:val="20"/>
        </w:rPr>
        <w:t>.  Ως κόστος εξισορρόπησης</w:t>
      </w:r>
      <w:r w:rsidR="00E5380A" w:rsidRPr="007C6B0E">
        <w:rPr>
          <w:sz w:val="20"/>
          <w:szCs w:val="20"/>
        </w:rPr>
        <w:t xml:space="preserve">, εννοούμε το γινόμενο της </w:t>
      </w:r>
      <w:r w:rsidR="00E5380A" w:rsidRPr="007C6B0E">
        <w:rPr>
          <w:sz w:val="20"/>
          <w:szCs w:val="20"/>
        </w:rPr>
        <w:lastRenderedPageBreak/>
        <w:t xml:space="preserve">διαφοράς μεταξύ της εγχυθείσας ενέργειας από το υποβληθέν πρόγραμμα παραγωγής όπως διαμορφώθηκε στην Αγορά Επόμενης Ημέρας (ΑΕΗ) και τις Τοπικές Ενδοημερήσιες Αγορές (ΤΕΔ), επί την διαφορά της τιμής Αποκλίσεων (που υπολογίζεται από την Αγορά Εξισορρόπησης) από την Τιμή Εκκαθάρισης της Προημερήσιας αγοράς όπως μεσοσταθμικά διαμορφώθηκε μέσω και των ΤΕΔ.  Δηλαδή </w:t>
      </w:r>
      <w:r w:rsidR="00E5380A" w:rsidRPr="007C6B0E">
        <w:rPr>
          <w:b/>
          <w:bCs/>
          <w:sz w:val="20"/>
          <w:szCs w:val="20"/>
          <w:u w:val="single"/>
        </w:rPr>
        <w:t>η ευθύνη εξισορρόπησης δεν αφορά τον αντιλογισμό της αξίας των υπερδηλώσεων ή υποδηλώσεων των προγραμμάτων παραγωγής στην Προημερήσια αγορά, αλλά μόνο στην διαφορά της αξία τους λόγω της διαφοράς της Τιμής Αποκλίσεων από την ΤΕΑ.</w:t>
      </w:r>
    </w:p>
    <w:p w14:paraId="58D7A5AA" w14:textId="77777777" w:rsidR="00E5380A" w:rsidRPr="003C678B" w:rsidRDefault="00E5380A" w:rsidP="007C6B0E">
      <w:pPr>
        <w:shd w:val="clear" w:color="auto" w:fill="FFFFFF"/>
        <w:spacing w:after="0" w:line="240" w:lineRule="auto"/>
        <w:ind w:left="426" w:hanging="284"/>
        <w:jc w:val="both"/>
        <w:rPr>
          <w:sz w:val="20"/>
          <w:szCs w:val="20"/>
        </w:rPr>
      </w:pPr>
    </w:p>
    <w:p w14:paraId="6DA8E0D5" w14:textId="3481E4E0" w:rsidR="0081628B" w:rsidRDefault="0081628B" w:rsidP="0081628B">
      <w:pPr>
        <w:pStyle w:val="ListParagraph"/>
        <w:numPr>
          <w:ilvl w:val="0"/>
          <w:numId w:val="43"/>
        </w:numPr>
        <w:shd w:val="clear" w:color="auto" w:fill="FFFFFF"/>
        <w:spacing w:after="0" w:line="240" w:lineRule="auto"/>
        <w:ind w:left="426" w:hanging="284"/>
        <w:jc w:val="both"/>
        <w:rPr>
          <w:b/>
          <w:bCs/>
          <w:sz w:val="20"/>
          <w:szCs w:val="20"/>
          <w:u w:val="single"/>
        </w:rPr>
      </w:pPr>
      <w:r w:rsidRPr="0081628B">
        <w:rPr>
          <w:b/>
          <w:bCs/>
          <w:sz w:val="20"/>
          <w:szCs w:val="20"/>
          <w:u w:val="single"/>
        </w:rPr>
        <w:t>Με δεδομένο πως εκ του ν. 4414 στα πλαίσια και της Ευρωπαϊκής νομοθεσίας τα έργα με ΣΠΗΕ και ΣΕΣΤ δεν φέρουν υποχρεώσεις εξισορρόπησης, αιτούμαστε αλυσιτελώς την απαλλαγή και του χαρτοφυλακίου τους που διαχειρίζεται ο ΔΑΠΕΕΠ</w:t>
      </w:r>
      <w:r>
        <w:rPr>
          <w:b/>
          <w:bCs/>
          <w:sz w:val="20"/>
          <w:szCs w:val="20"/>
          <w:u w:val="single"/>
        </w:rPr>
        <w:t xml:space="preserve"> από υποχρεώσεις εξισορρόπησης</w:t>
      </w:r>
      <w:r w:rsidR="002E28A9">
        <w:rPr>
          <w:b/>
          <w:bCs/>
          <w:sz w:val="20"/>
          <w:szCs w:val="20"/>
          <w:u w:val="single"/>
        </w:rPr>
        <w:t xml:space="preserve"> όπως αυτές τώρα υπεισέρχονται στις Αποκλίσεις</w:t>
      </w:r>
      <w:r w:rsidRPr="0081628B">
        <w:rPr>
          <w:b/>
          <w:bCs/>
          <w:sz w:val="20"/>
          <w:szCs w:val="20"/>
          <w:u w:val="single"/>
        </w:rPr>
        <w:t xml:space="preserve">, ούτως ώστε να μην υπάρχει αδίκως και παραδόξως </w:t>
      </w:r>
      <w:r>
        <w:rPr>
          <w:b/>
          <w:bCs/>
          <w:sz w:val="20"/>
          <w:szCs w:val="20"/>
          <w:u w:val="single"/>
        </w:rPr>
        <w:t xml:space="preserve">τέτοια </w:t>
      </w:r>
      <w:r w:rsidRPr="0081628B">
        <w:rPr>
          <w:b/>
          <w:bCs/>
          <w:sz w:val="20"/>
          <w:szCs w:val="20"/>
          <w:u w:val="single"/>
        </w:rPr>
        <w:t xml:space="preserve">επιβάρυνση του ΕΛΑΠΕ. </w:t>
      </w:r>
    </w:p>
    <w:p w14:paraId="726076A2" w14:textId="77777777" w:rsidR="0081628B" w:rsidRPr="0081628B" w:rsidRDefault="0081628B" w:rsidP="0081628B">
      <w:pPr>
        <w:pStyle w:val="ListParagraph"/>
        <w:rPr>
          <w:b/>
          <w:bCs/>
          <w:sz w:val="20"/>
          <w:szCs w:val="20"/>
          <w:u w:val="single"/>
        </w:rPr>
      </w:pPr>
    </w:p>
    <w:p w14:paraId="72ECFE62" w14:textId="1DA994E6" w:rsidR="00546C82" w:rsidRDefault="00546C82" w:rsidP="0081628B">
      <w:pPr>
        <w:pStyle w:val="ListParagraph"/>
        <w:numPr>
          <w:ilvl w:val="0"/>
          <w:numId w:val="43"/>
        </w:numPr>
        <w:shd w:val="clear" w:color="auto" w:fill="FFFFFF"/>
        <w:spacing w:after="0" w:line="240" w:lineRule="auto"/>
        <w:ind w:left="426" w:hanging="284"/>
        <w:jc w:val="both"/>
        <w:rPr>
          <w:sz w:val="20"/>
          <w:szCs w:val="20"/>
        </w:rPr>
      </w:pPr>
      <w:r>
        <w:rPr>
          <w:sz w:val="20"/>
          <w:szCs w:val="20"/>
        </w:rPr>
        <w:t>Από την ρύθμιση αυτή δεν προκαλείται οικονομική ανισορροπία για το σύστημα, αφού εξ’ ορισμού το κόστος των Αγορών Ενέργειας Εξισορρόπησης δεν ισούται με το άθροισμα των Αποκλίσεων που χρεώνονται στο σκέλος των ευθυνών εξισορρόπησης των οντοτήτων με υποχρεώσεις εξισορρόπησης.</w:t>
      </w:r>
    </w:p>
    <w:p w14:paraId="08E7FA14" w14:textId="77777777" w:rsidR="00546C82" w:rsidRPr="00546C82" w:rsidRDefault="00546C82" w:rsidP="00546C82">
      <w:pPr>
        <w:pStyle w:val="ListParagraph"/>
        <w:rPr>
          <w:sz w:val="20"/>
          <w:szCs w:val="20"/>
        </w:rPr>
      </w:pPr>
    </w:p>
    <w:p w14:paraId="56AAD2A9" w14:textId="6C0C7EDC" w:rsidR="0081628B" w:rsidRDefault="0081628B" w:rsidP="0081628B">
      <w:pPr>
        <w:pStyle w:val="ListParagraph"/>
        <w:numPr>
          <w:ilvl w:val="0"/>
          <w:numId w:val="43"/>
        </w:numPr>
        <w:shd w:val="clear" w:color="auto" w:fill="FFFFFF"/>
        <w:spacing w:after="0" w:line="240" w:lineRule="auto"/>
        <w:ind w:left="426" w:hanging="284"/>
        <w:jc w:val="both"/>
        <w:rPr>
          <w:sz w:val="20"/>
          <w:szCs w:val="20"/>
        </w:rPr>
      </w:pPr>
      <w:r w:rsidRPr="0081628B">
        <w:rPr>
          <w:sz w:val="20"/>
          <w:szCs w:val="20"/>
        </w:rPr>
        <w:t>Για το</w:t>
      </w:r>
      <w:r>
        <w:rPr>
          <w:sz w:val="20"/>
          <w:szCs w:val="20"/>
        </w:rPr>
        <w:t xml:space="preserve"> χαρτοφυλάκιο έργων με ΣΠΗΕ και ΣΕΣΤ αυτό, ο ΔΑΠΕΕΠ και ο ΕΛΑΠΕ θα συνεχίσουν κανονικά να καταβάλλουν</w:t>
      </w:r>
      <w:r w:rsidR="00C6172A">
        <w:rPr>
          <w:sz w:val="20"/>
          <w:szCs w:val="20"/>
        </w:rPr>
        <w:t>/εισπράττουν</w:t>
      </w:r>
      <w:r>
        <w:rPr>
          <w:sz w:val="20"/>
          <w:szCs w:val="20"/>
        </w:rPr>
        <w:t xml:space="preserve"> τον αντιλογισμό των υπερδηλώσεων/υποδηλώσεων της παραγωγής στους στη</w:t>
      </w:r>
      <w:r w:rsidR="006309CF">
        <w:rPr>
          <w:sz w:val="20"/>
          <w:szCs w:val="20"/>
        </w:rPr>
        <w:t>ν</w:t>
      </w:r>
      <w:r>
        <w:rPr>
          <w:sz w:val="20"/>
          <w:szCs w:val="20"/>
        </w:rPr>
        <w:t xml:space="preserve"> ΑΕΗ</w:t>
      </w:r>
      <w:r w:rsidR="002E28A9">
        <w:rPr>
          <w:sz w:val="20"/>
          <w:szCs w:val="20"/>
        </w:rPr>
        <w:t xml:space="preserve"> μέσω των Αποκλίσεων</w:t>
      </w:r>
      <w:r>
        <w:rPr>
          <w:sz w:val="20"/>
          <w:szCs w:val="20"/>
        </w:rPr>
        <w:t xml:space="preserve">. </w:t>
      </w:r>
      <w:r w:rsidRPr="0081628B">
        <w:rPr>
          <w:sz w:val="20"/>
          <w:szCs w:val="20"/>
        </w:rPr>
        <w:t xml:space="preserve"> </w:t>
      </w:r>
    </w:p>
    <w:p w14:paraId="25A03E11" w14:textId="77777777" w:rsidR="002E28A9" w:rsidRPr="002E28A9" w:rsidRDefault="002E28A9" w:rsidP="002E28A9">
      <w:pPr>
        <w:pStyle w:val="ListParagraph"/>
        <w:rPr>
          <w:sz w:val="20"/>
          <w:szCs w:val="20"/>
        </w:rPr>
      </w:pPr>
    </w:p>
    <w:p w14:paraId="18321C93" w14:textId="269B2C5B" w:rsidR="002E28A9" w:rsidRPr="007C6B0E" w:rsidRDefault="002E28A9" w:rsidP="002E28A9">
      <w:pPr>
        <w:pStyle w:val="ListParagraph"/>
        <w:numPr>
          <w:ilvl w:val="0"/>
          <w:numId w:val="43"/>
        </w:numPr>
        <w:spacing w:after="0" w:line="240" w:lineRule="auto"/>
        <w:ind w:left="426" w:hanging="284"/>
        <w:jc w:val="both"/>
        <w:rPr>
          <w:rFonts w:cstheme="minorHAnsi"/>
          <w:b/>
          <w:bCs/>
          <w:sz w:val="20"/>
          <w:szCs w:val="20"/>
          <w:u w:val="single"/>
        </w:rPr>
      </w:pPr>
      <w:r>
        <w:rPr>
          <w:rFonts w:cstheme="minorHAnsi"/>
          <w:b/>
          <w:bCs/>
          <w:sz w:val="20"/>
          <w:szCs w:val="20"/>
          <w:u w:val="single"/>
        </w:rPr>
        <w:t xml:space="preserve">Αν η πρόταση μας αυτή δεν γίνει αποδεκτή, τότε </w:t>
      </w:r>
      <w:r w:rsidRPr="007C6B0E">
        <w:rPr>
          <w:rFonts w:cstheme="minorHAnsi"/>
          <w:b/>
          <w:bCs/>
          <w:sz w:val="20"/>
          <w:szCs w:val="20"/>
          <w:u w:val="single"/>
        </w:rPr>
        <w:t>για το χαρτοφυλάκιο ΑΠΕ με ΣΠΗΕ-ΣΕΣΤ που διαχειρίζεται ο ΔΑΠΕΕΠ αλλά και για τις μονάδες και χαρτοφυλάκια ΑΠΕ με ΣΕΔΠ που λειτουργούν προσωρινά με το καθεστώς του Μεταβατικού Μηχανισμού Βέλτιστης Ακρίβειας Πρόβλεψης (</w:t>
      </w:r>
      <w:r w:rsidR="00810BC9">
        <w:rPr>
          <w:rFonts w:cstheme="minorHAnsi"/>
          <w:b/>
          <w:bCs/>
          <w:sz w:val="20"/>
          <w:szCs w:val="20"/>
          <w:u w:val="single"/>
        </w:rPr>
        <w:t>Μ</w:t>
      </w:r>
      <w:r w:rsidRPr="007C6B0E">
        <w:rPr>
          <w:rFonts w:cstheme="minorHAnsi"/>
          <w:b/>
          <w:bCs/>
          <w:sz w:val="20"/>
          <w:szCs w:val="20"/>
          <w:u w:val="single"/>
        </w:rPr>
        <w:t xml:space="preserve">ΜΒΑΠ) κατά μόνας ή σε άλλους ΦοΣΕ σύμφωνα με τις προβλέψεις του ν. 4414/2016, το </w:t>
      </w:r>
      <w:r w:rsidR="00DA5898">
        <w:rPr>
          <w:rFonts w:cstheme="minorHAnsi"/>
          <w:b/>
          <w:bCs/>
          <w:sz w:val="20"/>
          <w:szCs w:val="20"/>
          <w:u w:val="single"/>
        </w:rPr>
        <w:t>σ</w:t>
      </w:r>
      <w:r w:rsidRPr="007C6B0E">
        <w:rPr>
          <w:rFonts w:cstheme="minorHAnsi"/>
          <w:b/>
          <w:bCs/>
          <w:sz w:val="20"/>
          <w:szCs w:val="20"/>
          <w:u w:val="single"/>
        </w:rPr>
        <w:t xml:space="preserve">κέλος αποκλίσεων τους </w:t>
      </w:r>
      <w:r w:rsidR="00DA5898">
        <w:rPr>
          <w:rFonts w:cstheme="minorHAnsi"/>
          <w:b/>
          <w:bCs/>
          <w:sz w:val="20"/>
          <w:szCs w:val="20"/>
          <w:u w:val="single"/>
        </w:rPr>
        <w:t xml:space="preserve">που οφείλεται στην ευθύνη εξισορρόπησης </w:t>
      </w:r>
      <w:r w:rsidRPr="007C6B0E">
        <w:rPr>
          <w:rFonts w:cstheme="minorHAnsi"/>
          <w:b/>
          <w:bCs/>
          <w:sz w:val="20"/>
          <w:szCs w:val="20"/>
          <w:u w:val="single"/>
        </w:rPr>
        <w:t xml:space="preserve">να μην επιβαρύνει τον ΕΛΑΠΕ, τουλάχιστον έως ότου οι ΤΕΔ αποκτήσουν επαρκή ρευστότητα ή/και συζευχθούν </w:t>
      </w:r>
      <w:r w:rsidR="00AC6711">
        <w:rPr>
          <w:rFonts w:cstheme="minorHAnsi"/>
          <w:b/>
          <w:bCs/>
          <w:sz w:val="20"/>
          <w:szCs w:val="20"/>
          <w:u w:val="single"/>
        </w:rPr>
        <w:t xml:space="preserve">και </w:t>
      </w:r>
      <w:r w:rsidRPr="007C6B0E">
        <w:rPr>
          <w:rFonts w:cstheme="minorHAnsi"/>
          <w:b/>
          <w:bCs/>
          <w:sz w:val="20"/>
          <w:szCs w:val="20"/>
          <w:u w:val="single"/>
        </w:rPr>
        <w:t>οι αγορές εξισορρόπησης με άλλων γειτονικών χωρών</w:t>
      </w:r>
      <w:r>
        <w:rPr>
          <w:rFonts w:cstheme="minorHAnsi"/>
          <w:b/>
          <w:bCs/>
          <w:sz w:val="20"/>
          <w:szCs w:val="20"/>
          <w:u w:val="single"/>
        </w:rPr>
        <w:t xml:space="preserve"> ή</w:t>
      </w:r>
      <w:r w:rsidR="00DA5898">
        <w:rPr>
          <w:rFonts w:cstheme="minorHAnsi"/>
          <w:b/>
          <w:bCs/>
          <w:sz w:val="20"/>
          <w:szCs w:val="20"/>
          <w:u w:val="single"/>
        </w:rPr>
        <w:t>/και</w:t>
      </w:r>
      <w:r>
        <w:rPr>
          <w:rFonts w:cstheme="minorHAnsi"/>
          <w:b/>
          <w:bCs/>
          <w:sz w:val="20"/>
          <w:szCs w:val="20"/>
          <w:u w:val="single"/>
        </w:rPr>
        <w:t xml:space="preserve"> αναπτυχθούν επαρκείς υποδομές αποθήκευσης </w:t>
      </w:r>
      <w:r w:rsidR="00AC6711">
        <w:rPr>
          <w:rFonts w:cstheme="minorHAnsi"/>
          <w:b/>
          <w:bCs/>
          <w:sz w:val="20"/>
          <w:szCs w:val="20"/>
          <w:u w:val="single"/>
        </w:rPr>
        <w:t xml:space="preserve">και διαχείρισης της ζήτησης </w:t>
      </w:r>
      <w:r>
        <w:rPr>
          <w:rFonts w:cstheme="minorHAnsi"/>
          <w:b/>
          <w:bCs/>
          <w:sz w:val="20"/>
          <w:szCs w:val="20"/>
          <w:u w:val="single"/>
        </w:rPr>
        <w:t>σύμφωνα και με το ΕΣΕΚ</w:t>
      </w:r>
      <w:r w:rsidRPr="007C6B0E">
        <w:rPr>
          <w:rFonts w:cstheme="minorHAnsi"/>
          <w:b/>
          <w:bCs/>
          <w:sz w:val="20"/>
          <w:szCs w:val="20"/>
          <w:u w:val="single"/>
        </w:rPr>
        <w:t xml:space="preserve">.  </w:t>
      </w:r>
    </w:p>
    <w:p w14:paraId="557EF244" w14:textId="77777777" w:rsidR="002E28A9" w:rsidRDefault="002E28A9" w:rsidP="002E28A9">
      <w:pPr>
        <w:spacing w:after="0" w:line="240" w:lineRule="auto"/>
        <w:ind w:left="426" w:hanging="284"/>
        <w:jc w:val="both"/>
        <w:rPr>
          <w:rFonts w:cstheme="minorHAnsi"/>
          <w:b/>
          <w:bCs/>
          <w:sz w:val="20"/>
          <w:szCs w:val="20"/>
          <w:u w:val="single"/>
        </w:rPr>
      </w:pPr>
    </w:p>
    <w:p w14:paraId="022103C2" w14:textId="77777777" w:rsidR="002E28A9" w:rsidRPr="007C6B0E" w:rsidRDefault="002E28A9" w:rsidP="002E28A9">
      <w:pPr>
        <w:pStyle w:val="ListParagraph"/>
        <w:numPr>
          <w:ilvl w:val="0"/>
          <w:numId w:val="43"/>
        </w:numPr>
        <w:spacing w:after="0" w:line="240" w:lineRule="auto"/>
        <w:ind w:left="426" w:hanging="284"/>
        <w:jc w:val="both"/>
        <w:rPr>
          <w:rFonts w:cstheme="minorHAnsi"/>
        </w:rPr>
      </w:pPr>
      <w:r w:rsidRPr="007C6B0E">
        <w:rPr>
          <w:rFonts w:cstheme="minorHAnsi"/>
          <w:sz w:val="20"/>
          <w:szCs w:val="20"/>
        </w:rPr>
        <w:t xml:space="preserve">Δεν είναι δηλαδή δυνατόν να συνεχιστεί η σημερινή κατάσταση, όπου ο ΕΛΑΠΕ </w:t>
      </w:r>
      <w:r>
        <w:rPr>
          <w:rFonts w:cstheme="minorHAnsi"/>
          <w:sz w:val="20"/>
          <w:szCs w:val="20"/>
        </w:rPr>
        <w:t xml:space="preserve">θα </w:t>
      </w:r>
      <w:r w:rsidRPr="007C6B0E">
        <w:rPr>
          <w:rFonts w:cstheme="minorHAnsi"/>
          <w:sz w:val="20"/>
          <w:szCs w:val="20"/>
        </w:rPr>
        <w:t>κινδυνεύ</w:t>
      </w:r>
      <w:r>
        <w:rPr>
          <w:rFonts w:cstheme="minorHAnsi"/>
          <w:sz w:val="20"/>
          <w:szCs w:val="20"/>
        </w:rPr>
        <w:t>σ</w:t>
      </w:r>
      <w:r w:rsidRPr="007C6B0E">
        <w:rPr>
          <w:rFonts w:cstheme="minorHAnsi"/>
          <w:sz w:val="20"/>
          <w:szCs w:val="20"/>
        </w:rPr>
        <w:t xml:space="preserve">ει να καταρρεύσει υπό τον παραλογισμό του υπέρογκου κόστους εξισορρόπησης που τροφοδοτείται </w:t>
      </w:r>
      <w:r>
        <w:rPr>
          <w:rFonts w:cstheme="minorHAnsi"/>
          <w:sz w:val="20"/>
          <w:szCs w:val="20"/>
        </w:rPr>
        <w:t xml:space="preserve">στις </w:t>
      </w:r>
      <w:r w:rsidRPr="007C6B0E">
        <w:rPr>
          <w:rFonts w:cstheme="minorHAnsi"/>
          <w:sz w:val="20"/>
          <w:szCs w:val="20"/>
        </w:rPr>
        <w:t>τιμές αποκλίσεων</w:t>
      </w:r>
      <w:r>
        <w:rPr>
          <w:rFonts w:cstheme="minorHAnsi"/>
          <w:sz w:val="20"/>
          <w:szCs w:val="20"/>
        </w:rPr>
        <w:t xml:space="preserve"> εκ</w:t>
      </w:r>
      <w:r w:rsidRPr="007C6B0E">
        <w:rPr>
          <w:rFonts w:cstheme="minorHAnsi"/>
          <w:sz w:val="20"/>
          <w:szCs w:val="20"/>
        </w:rPr>
        <w:t xml:space="preserve"> των παντελώς ανώριμων αυτών αγορών</w:t>
      </w:r>
      <w:r>
        <w:rPr>
          <w:rFonts w:cstheme="minorHAnsi"/>
          <w:sz w:val="20"/>
          <w:szCs w:val="20"/>
        </w:rPr>
        <w:t>.</w:t>
      </w:r>
      <w:r w:rsidRPr="007C6B0E">
        <w:rPr>
          <w:rFonts w:cstheme="minorHAnsi"/>
          <w:sz w:val="20"/>
          <w:szCs w:val="20"/>
        </w:rPr>
        <w:t xml:space="preserve">  </w:t>
      </w:r>
      <w:r w:rsidRPr="007C6B0E">
        <w:rPr>
          <w:rFonts w:cstheme="minorHAnsi"/>
          <w:b/>
          <w:bCs/>
          <w:sz w:val="20"/>
          <w:szCs w:val="20"/>
          <w:u w:val="single"/>
        </w:rPr>
        <w:t>Πολλώ δεν μάλλον όταν τα έργα με ΣΠΗΕ-ΣΕΣΤ δεν έχουν καν υποχρεώσεις εξισορρόπησης</w:t>
      </w:r>
      <w:r w:rsidRPr="007C6B0E">
        <w:rPr>
          <w:rFonts w:cstheme="minorHAnsi"/>
          <w:sz w:val="20"/>
          <w:szCs w:val="20"/>
        </w:rPr>
        <w:t xml:space="preserve">.  </w:t>
      </w:r>
    </w:p>
    <w:p w14:paraId="65D50763" w14:textId="18A97931" w:rsidR="00DA5898" w:rsidRDefault="00DA5898" w:rsidP="0081628B">
      <w:pPr>
        <w:shd w:val="clear" w:color="auto" w:fill="FFFFFF"/>
        <w:spacing w:after="0" w:line="240" w:lineRule="auto"/>
        <w:ind w:left="426" w:hanging="426"/>
        <w:jc w:val="both"/>
        <w:rPr>
          <w:rFonts w:eastAsia="Times New Roman" w:cstheme="minorHAnsi"/>
          <w:b/>
          <w:bCs/>
          <w:color w:val="222222"/>
          <w:sz w:val="20"/>
          <w:szCs w:val="20"/>
          <w:u w:val="single"/>
          <w:lang w:eastAsia="el-GR"/>
        </w:rPr>
      </w:pPr>
    </w:p>
    <w:p w14:paraId="389B04D9" w14:textId="77777777" w:rsidR="009C2E86" w:rsidRDefault="009C2E86" w:rsidP="0081628B">
      <w:pPr>
        <w:shd w:val="clear" w:color="auto" w:fill="FFFFFF"/>
        <w:spacing w:after="0" w:line="240" w:lineRule="auto"/>
        <w:ind w:left="426" w:hanging="426"/>
        <w:jc w:val="both"/>
        <w:rPr>
          <w:rFonts w:eastAsia="Times New Roman" w:cstheme="minorHAnsi"/>
          <w:b/>
          <w:bCs/>
          <w:color w:val="222222"/>
          <w:sz w:val="20"/>
          <w:szCs w:val="20"/>
          <w:u w:val="single"/>
          <w:lang w:eastAsia="el-GR"/>
        </w:rPr>
      </w:pPr>
    </w:p>
    <w:p w14:paraId="38CE954C" w14:textId="033C0998" w:rsidR="0081628B" w:rsidRPr="00C33AB9" w:rsidRDefault="00B57588" w:rsidP="0081628B">
      <w:pPr>
        <w:shd w:val="clear" w:color="auto" w:fill="FFFFFF"/>
        <w:spacing w:after="0" w:line="240" w:lineRule="auto"/>
        <w:ind w:left="426" w:hanging="426"/>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 xml:space="preserve">Ε.    </w:t>
      </w:r>
      <w:r w:rsidR="0081628B">
        <w:rPr>
          <w:rFonts w:eastAsia="Times New Roman" w:cstheme="minorHAnsi"/>
          <w:b/>
          <w:bCs/>
          <w:color w:val="222222"/>
          <w:sz w:val="20"/>
          <w:szCs w:val="20"/>
          <w:u w:val="single"/>
          <w:lang w:eastAsia="el-GR"/>
        </w:rPr>
        <w:t xml:space="preserve">Θέσπιση ορίων ανοχής </w:t>
      </w:r>
      <w:r w:rsidR="0081628B">
        <w:rPr>
          <w:rFonts w:eastAsia="Times New Roman" w:cstheme="minorHAnsi"/>
          <w:b/>
          <w:bCs/>
          <w:color w:val="222222"/>
          <w:sz w:val="20"/>
          <w:szCs w:val="20"/>
          <w:u w:val="single"/>
          <w:lang w:val="en-US" w:eastAsia="el-GR"/>
        </w:rPr>
        <w:t>TOLRES</w:t>
      </w:r>
      <w:r w:rsidR="0081628B" w:rsidRPr="00C33AB9">
        <w:rPr>
          <w:rFonts w:eastAsia="Times New Roman" w:cstheme="minorHAnsi"/>
          <w:b/>
          <w:bCs/>
          <w:color w:val="222222"/>
          <w:sz w:val="20"/>
          <w:szCs w:val="20"/>
          <w:u w:val="single"/>
          <w:lang w:eastAsia="el-GR"/>
        </w:rPr>
        <w:t xml:space="preserve"> </w:t>
      </w:r>
      <w:r w:rsidR="0081628B">
        <w:rPr>
          <w:rFonts w:eastAsia="Times New Roman" w:cstheme="minorHAnsi"/>
          <w:b/>
          <w:bCs/>
          <w:color w:val="222222"/>
          <w:sz w:val="20"/>
          <w:szCs w:val="20"/>
          <w:u w:val="single"/>
          <w:lang w:eastAsia="el-GR"/>
        </w:rPr>
        <w:t>στις Αποκλίσεις πριν την χρέωση κόστους εξισορρόπησης</w:t>
      </w:r>
      <w:r w:rsidR="000E26B3">
        <w:rPr>
          <w:rFonts w:eastAsia="Times New Roman" w:cstheme="minorHAnsi"/>
          <w:b/>
          <w:bCs/>
          <w:color w:val="222222"/>
          <w:sz w:val="20"/>
          <w:szCs w:val="20"/>
          <w:u w:val="single"/>
          <w:lang w:eastAsia="el-GR"/>
        </w:rPr>
        <w:t xml:space="preserve"> σε ΑΠΕ</w:t>
      </w:r>
      <w:r w:rsidR="0081628B">
        <w:rPr>
          <w:rFonts w:eastAsia="Times New Roman" w:cstheme="minorHAnsi"/>
          <w:b/>
          <w:bCs/>
          <w:color w:val="222222"/>
          <w:sz w:val="20"/>
          <w:szCs w:val="20"/>
          <w:u w:val="single"/>
          <w:lang w:eastAsia="el-GR"/>
        </w:rPr>
        <w:t xml:space="preserve"> </w:t>
      </w:r>
    </w:p>
    <w:p w14:paraId="4F382ACB" w14:textId="77777777" w:rsidR="0081628B" w:rsidRPr="0081628B" w:rsidRDefault="0081628B" w:rsidP="0081628B">
      <w:pPr>
        <w:pStyle w:val="ListParagraph"/>
        <w:rPr>
          <w:sz w:val="20"/>
          <w:szCs w:val="20"/>
        </w:rPr>
      </w:pPr>
    </w:p>
    <w:p w14:paraId="63FB5348" w14:textId="68005CA8" w:rsidR="00E5380A" w:rsidRDefault="007C6B0E" w:rsidP="000E26B3">
      <w:pPr>
        <w:pStyle w:val="ListParagraph"/>
        <w:numPr>
          <w:ilvl w:val="0"/>
          <w:numId w:val="47"/>
        </w:numPr>
        <w:shd w:val="clear" w:color="auto" w:fill="FFFFFF"/>
        <w:spacing w:after="0" w:line="240" w:lineRule="auto"/>
        <w:ind w:left="426" w:hanging="284"/>
        <w:jc w:val="both"/>
        <w:rPr>
          <w:sz w:val="20"/>
          <w:szCs w:val="20"/>
        </w:rPr>
      </w:pPr>
      <w:r>
        <w:rPr>
          <w:sz w:val="20"/>
          <w:szCs w:val="20"/>
        </w:rPr>
        <w:t>Σ</w:t>
      </w:r>
      <w:r w:rsidR="00E5380A" w:rsidRPr="007C6B0E">
        <w:rPr>
          <w:sz w:val="20"/>
          <w:szCs w:val="20"/>
        </w:rPr>
        <w:t xml:space="preserve">την Απόφαση ΡΑΕ 944/2018, παρ. ΙΑ, για κάθε περίοδο κατανομής, για τις μονάδες ΑΠΕ με υποχρεώσεις συμμετοχής στον ΗΕΠ, τα χαρτοφυλάκια ΑΠΕ τους, αλλά και το χαρτοφυλάκιο ΑΠΕ του ΔΑΠΕΕΠ με ΣΠΗΕ-ΣΕΣΤ, οριζόταν ένα όριο </w:t>
      </w:r>
      <w:r w:rsidR="00E5380A" w:rsidRPr="007C6B0E">
        <w:rPr>
          <w:sz w:val="20"/>
          <w:szCs w:val="20"/>
          <w:lang w:val="en-US"/>
        </w:rPr>
        <w:t>TOLRES</w:t>
      </w:r>
      <w:r w:rsidR="00E5380A" w:rsidRPr="007C6B0E">
        <w:rPr>
          <w:sz w:val="20"/>
          <w:szCs w:val="20"/>
        </w:rPr>
        <w:t xml:space="preserve">.  Σύμφωνα με την Απόφαση, αυτό </w:t>
      </w:r>
      <w:r w:rsidR="00E5380A" w:rsidRPr="007C6B0E">
        <w:rPr>
          <w:i/>
          <w:iCs/>
          <w:sz w:val="20"/>
          <w:szCs w:val="20"/>
        </w:rPr>
        <w:t>«</w:t>
      </w:r>
      <w:r w:rsidR="00E5380A" w:rsidRPr="007C6B0E">
        <w:rPr>
          <w:rFonts w:eastAsia="MS Mincho"/>
          <w:i/>
          <w:iCs/>
          <w:sz w:val="20"/>
          <w:szCs w:val="20"/>
          <w:lang w:eastAsia="el-GR"/>
        </w:rPr>
        <w:t>είναι το όριο ανοχής, σε Μ</w:t>
      </w:r>
      <w:proofErr w:type="spellStart"/>
      <w:r w:rsidR="00E5380A" w:rsidRPr="007C6B0E">
        <w:rPr>
          <w:rFonts w:eastAsia="MS Mincho"/>
          <w:i/>
          <w:iCs/>
          <w:sz w:val="20"/>
          <w:szCs w:val="20"/>
          <w:lang w:val="en-US" w:eastAsia="el-GR"/>
        </w:rPr>
        <w:t>Wh</w:t>
      </w:r>
      <w:proofErr w:type="spellEnd"/>
      <w:r w:rsidR="00E5380A" w:rsidRPr="007C6B0E">
        <w:rPr>
          <w:rFonts w:eastAsia="MS Mincho"/>
          <w:i/>
          <w:iCs/>
          <w:sz w:val="20"/>
          <w:szCs w:val="20"/>
          <w:lang w:eastAsia="el-GR"/>
        </w:rPr>
        <w:t xml:space="preserve">, που χρησιμοποιείται στον προσδιορισμό των Αποκλίσεων Παραγωγής-Ζήτησης Μονάδας ή Χαρτοφυλακίου Μονάδων ΑΠΕ και ΣΗΘΥΑ, ανά Περίοδο Κατανομής </w:t>
      </w:r>
      <w:r w:rsidR="00E5380A" w:rsidRPr="007C6B0E">
        <w:rPr>
          <w:rFonts w:eastAsia="MS Mincho"/>
          <w:i/>
          <w:iCs/>
          <w:sz w:val="20"/>
          <w:szCs w:val="20"/>
          <w:lang w:val="en-US" w:eastAsia="el-GR"/>
        </w:rPr>
        <w:t>t</w:t>
      </w:r>
      <w:r w:rsidR="00E5380A" w:rsidRPr="007C6B0E">
        <w:rPr>
          <w:rFonts w:eastAsia="MS Mincho"/>
          <w:i/>
          <w:iCs/>
          <w:sz w:val="20"/>
          <w:szCs w:val="20"/>
          <w:lang w:eastAsia="el-GR"/>
        </w:rPr>
        <w:t xml:space="preserve">,  και εξαρτάται από την τεχνολογία </w:t>
      </w:r>
      <w:r w:rsidR="00E5380A" w:rsidRPr="007C6B0E">
        <w:rPr>
          <w:rFonts w:eastAsia="MS Mincho"/>
          <w:i/>
          <w:iCs/>
          <w:sz w:val="20"/>
          <w:szCs w:val="20"/>
          <w:lang w:val="en-US" w:eastAsia="el-GR"/>
        </w:rPr>
        <w:t>tech</w:t>
      </w:r>
      <w:r w:rsidR="00E5380A" w:rsidRPr="007C6B0E">
        <w:rPr>
          <w:rFonts w:eastAsia="MS Mincho"/>
          <w:i/>
          <w:iCs/>
          <w:sz w:val="20"/>
          <w:szCs w:val="20"/>
          <w:lang w:eastAsia="el-GR"/>
        </w:rPr>
        <w:t xml:space="preserve"> και το επίπεδο εγκατεστημένης ισχύος P</w:t>
      </w:r>
      <w:r w:rsidR="00E5380A" w:rsidRPr="007C6B0E">
        <w:rPr>
          <w:rFonts w:eastAsia="MS Mincho"/>
          <w:i/>
          <w:iCs/>
          <w:sz w:val="20"/>
          <w:szCs w:val="20"/>
          <w:vertAlign w:val="subscript"/>
          <w:lang w:eastAsia="el-GR"/>
        </w:rPr>
        <w:t>inst</w:t>
      </w:r>
      <w:r w:rsidR="00E5380A" w:rsidRPr="007C6B0E">
        <w:rPr>
          <w:rFonts w:eastAsia="MS Mincho"/>
          <w:i/>
          <w:iCs/>
          <w:sz w:val="20"/>
          <w:szCs w:val="20"/>
          <w:lang w:eastAsia="el-GR"/>
        </w:rPr>
        <w:t xml:space="preserve"> της Μονάδας ΑΠΕ και ΣΗΘΥΑ που συμμετέχει απευθείας στην αγορά Ηλεκτρικής Ενέργειας ή του Χαρτοφυλακίου Μονάδων ΑΠΕ και ΣΗΘΥΑ αντίστοιχα».</w:t>
      </w:r>
      <w:r w:rsidR="00E5380A" w:rsidRPr="007C6B0E">
        <w:rPr>
          <w:rFonts w:eastAsia="MS Mincho"/>
          <w:sz w:val="20"/>
          <w:szCs w:val="20"/>
          <w:lang w:eastAsia="el-GR"/>
        </w:rPr>
        <w:t xml:space="preserve"> </w:t>
      </w:r>
      <w:r w:rsidR="00E5380A" w:rsidRPr="007C6B0E">
        <w:rPr>
          <w:sz w:val="20"/>
          <w:szCs w:val="20"/>
        </w:rPr>
        <w:t xml:space="preserve">Εφόσον λοιπόν η απόκλιση σε </w:t>
      </w:r>
      <w:r w:rsidR="00E5380A" w:rsidRPr="007C6B0E">
        <w:rPr>
          <w:sz w:val="20"/>
          <w:szCs w:val="20"/>
          <w:lang w:val="en-US"/>
        </w:rPr>
        <w:t>MWh</w:t>
      </w:r>
      <w:r w:rsidR="00E5380A" w:rsidRPr="007C6B0E">
        <w:rPr>
          <w:sz w:val="20"/>
          <w:szCs w:val="20"/>
        </w:rPr>
        <w:t xml:space="preserve"> της εγχυθείσας παραγωγής μιας οντότητας από το δηλωθέν πρόγραμμα της ήταν εντός του εύρους +/- </w:t>
      </w:r>
      <w:r w:rsidR="00E5380A" w:rsidRPr="007C6B0E">
        <w:rPr>
          <w:sz w:val="20"/>
          <w:szCs w:val="20"/>
          <w:lang w:val="en-US"/>
        </w:rPr>
        <w:t>TOLRES</w:t>
      </w:r>
      <w:r w:rsidR="00E5380A" w:rsidRPr="007C6B0E">
        <w:rPr>
          <w:sz w:val="20"/>
          <w:szCs w:val="20"/>
        </w:rPr>
        <w:t xml:space="preserve">, τότε η απόκλιση λαμβανόταν μηδενική.  </w:t>
      </w:r>
    </w:p>
    <w:p w14:paraId="70E7C9B3" w14:textId="77777777" w:rsidR="0081628B" w:rsidRPr="0081628B" w:rsidRDefault="0081628B" w:rsidP="0081628B">
      <w:pPr>
        <w:pStyle w:val="ListParagraph"/>
        <w:rPr>
          <w:sz w:val="20"/>
          <w:szCs w:val="20"/>
        </w:rPr>
      </w:pPr>
    </w:p>
    <w:p w14:paraId="70D27092" w14:textId="0C56D6C8" w:rsidR="00E5380A" w:rsidRPr="00B57588" w:rsidRDefault="00E5380A" w:rsidP="000E26B3">
      <w:pPr>
        <w:pStyle w:val="ListParagraph"/>
        <w:numPr>
          <w:ilvl w:val="0"/>
          <w:numId w:val="47"/>
        </w:numPr>
        <w:shd w:val="clear" w:color="auto" w:fill="FFFFFF"/>
        <w:spacing w:after="0" w:line="240" w:lineRule="auto"/>
        <w:ind w:left="426" w:hanging="284"/>
        <w:jc w:val="both"/>
        <w:rPr>
          <w:sz w:val="20"/>
          <w:szCs w:val="20"/>
        </w:rPr>
      </w:pPr>
      <w:r w:rsidRPr="00B57588">
        <w:rPr>
          <w:b/>
          <w:bCs/>
          <w:sz w:val="20"/>
          <w:szCs w:val="20"/>
          <w:u w:val="single"/>
        </w:rPr>
        <w:t>Εισηγούμαστε λοιπόν όπως υιοθετηθεί μια τέτοια πρόβλεψη</w:t>
      </w:r>
      <w:r w:rsidRPr="00B57588">
        <w:rPr>
          <w:sz w:val="20"/>
          <w:szCs w:val="20"/>
        </w:rPr>
        <w:t xml:space="preserve"> και υπό το </w:t>
      </w:r>
      <w:r w:rsidRPr="00B57588">
        <w:rPr>
          <w:sz w:val="20"/>
          <w:szCs w:val="20"/>
          <w:lang w:val="en-US"/>
        </w:rPr>
        <w:t>Target</w:t>
      </w:r>
      <w:r w:rsidRPr="00B57588">
        <w:rPr>
          <w:sz w:val="20"/>
          <w:szCs w:val="20"/>
        </w:rPr>
        <w:t xml:space="preserve"> </w:t>
      </w:r>
      <w:r w:rsidRPr="00B57588">
        <w:rPr>
          <w:sz w:val="20"/>
          <w:szCs w:val="20"/>
          <w:lang w:val="en-US"/>
        </w:rPr>
        <w:t>Model</w:t>
      </w:r>
      <w:r w:rsidRPr="00B57588">
        <w:rPr>
          <w:sz w:val="20"/>
          <w:szCs w:val="20"/>
        </w:rPr>
        <w:t xml:space="preserve"> και τούτο όχι για να αποφύγουν οι ΑΠΕ και τα χαρτοφυλάκια τους </w:t>
      </w:r>
      <w:r w:rsidR="00317A00">
        <w:rPr>
          <w:sz w:val="20"/>
          <w:szCs w:val="20"/>
        </w:rPr>
        <w:t xml:space="preserve">εκτός </w:t>
      </w:r>
      <w:r w:rsidR="00810BC9">
        <w:rPr>
          <w:sz w:val="20"/>
          <w:szCs w:val="20"/>
        </w:rPr>
        <w:t>Μ</w:t>
      </w:r>
      <w:r w:rsidR="00317A00">
        <w:rPr>
          <w:sz w:val="20"/>
          <w:szCs w:val="20"/>
        </w:rPr>
        <w:t xml:space="preserve">ΜΒΑΠ </w:t>
      </w:r>
      <w:r w:rsidRPr="00B57588">
        <w:rPr>
          <w:sz w:val="20"/>
          <w:szCs w:val="20"/>
        </w:rPr>
        <w:t xml:space="preserve">στις αποκλίσεις το σκέλος του αντιλογισμού στην αξία της ΤΕΑ των υπερδηλώσεων/υποδηλώσεων των προγραμμάτων παραγωγής τους ως προς την πραγματική έγχυση τους, αλλά </w:t>
      </w:r>
      <w:r w:rsidRPr="00B57588">
        <w:rPr>
          <w:b/>
          <w:bCs/>
          <w:sz w:val="20"/>
          <w:szCs w:val="20"/>
          <w:u w:val="single"/>
        </w:rPr>
        <w:t>για να μην υπολογίζεται για την παραμικρή κάθε φορά απόκλιση που θα βρίσκεται εντός του εύρους +/-</w:t>
      </w:r>
      <w:r w:rsidRPr="00B57588">
        <w:rPr>
          <w:b/>
          <w:bCs/>
          <w:sz w:val="20"/>
          <w:szCs w:val="20"/>
          <w:u w:val="single"/>
          <w:lang w:val="en-US"/>
        </w:rPr>
        <w:t>TOLRES</w:t>
      </w:r>
      <w:r w:rsidRPr="00B57588">
        <w:rPr>
          <w:b/>
          <w:bCs/>
          <w:sz w:val="20"/>
          <w:szCs w:val="20"/>
          <w:u w:val="single"/>
        </w:rPr>
        <w:t xml:space="preserve"> επιπρόσθετο κόστος τιμολογούμενο στην Τιμή Αποκλίσεων</w:t>
      </w:r>
      <w:r w:rsidRPr="00B57588">
        <w:rPr>
          <w:sz w:val="20"/>
          <w:szCs w:val="20"/>
        </w:rPr>
        <w:t xml:space="preserve">, η οποία </w:t>
      </w:r>
      <w:r w:rsidR="007C6B0E" w:rsidRPr="00B57588">
        <w:rPr>
          <w:sz w:val="20"/>
          <w:szCs w:val="20"/>
        </w:rPr>
        <w:t xml:space="preserve">παρά τον υπό διαβούλευση περιορισμό των ορίων θα </w:t>
      </w:r>
      <w:r w:rsidRPr="00B57588">
        <w:rPr>
          <w:sz w:val="20"/>
          <w:szCs w:val="20"/>
        </w:rPr>
        <w:t xml:space="preserve">ανέρχεται συχνά </w:t>
      </w:r>
      <w:r w:rsidR="007C6B0E" w:rsidRPr="00B57588">
        <w:rPr>
          <w:sz w:val="20"/>
          <w:szCs w:val="20"/>
        </w:rPr>
        <w:t xml:space="preserve">και πάλι </w:t>
      </w:r>
      <w:r w:rsidRPr="00B57588">
        <w:rPr>
          <w:sz w:val="20"/>
          <w:szCs w:val="20"/>
        </w:rPr>
        <w:t>σ</w:t>
      </w:r>
      <w:r w:rsidR="007C6B0E" w:rsidRPr="00B57588">
        <w:rPr>
          <w:sz w:val="20"/>
          <w:szCs w:val="20"/>
        </w:rPr>
        <w:t>ε σημαντικά υψηλότερα</w:t>
      </w:r>
      <w:r w:rsidRPr="00B57588">
        <w:rPr>
          <w:sz w:val="20"/>
          <w:szCs w:val="20"/>
        </w:rPr>
        <w:t xml:space="preserve"> επίπεδα ανά </w:t>
      </w:r>
      <w:r w:rsidRPr="00B57588">
        <w:rPr>
          <w:sz w:val="20"/>
          <w:szCs w:val="20"/>
          <w:lang w:val="en-US"/>
        </w:rPr>
        <w:t>MWh</w:t>
      </w:r>
      <w:r w:rsidR="007C6B0E" w:rsidRPr="00B57588">
        <w:rPr>
          <w:sz w:val="20"/>
          <w:szCs w:val="20"/>
        </w:rPr>
        <w:t xml:space="preserve"> από την ΤΕΑ</w:t>
      </w:r>
      <w:r w:rsidRPr="00B57588">
        <w:rPr>
          <w:sz w:val="20"/>
          <w:szCs w:val="20"/>
        </w:rPr>
        <w:t xml:space="preserve">.   </w:t>
      </w:r>
    </w:p>
    <w:p w14:paraId="54358254" w14:textId="77777777" w:rsidR="00E5380A" w:rsidRPr="00CB02CA" w:rsidRDefault="00E5380A" w:rsidP="007C6B0E">
      <w:pPr>
        <w:shd w:val="clear" w:color="auto" w:fill="FFFFFF"/>
        <w:spacing w:after="0" w:line="240" w:lineRule="auto"/>
        <w:ind w:left="426" w:hanging="284"/>
        <w:jc w:val="both"/>
        <w:rPr>
          <w:b/>
          <w:bCs/>
          <w:sz w:val="20"/>
          <w:szCs w:val="20"/>
        </w:rPr>
      </w:pPr>
    </w:p>
    <w:p w14:paraId="23D5C2EF" w14:textId="77777777" w:rsidR="00E5380A" w:rsidRPr="007C6B0E" w:rsidRDefault="00E5380A" w:rsidP="000E26B3">
      <w:pPr>
        <w:pStyle w:val="ListParagraph"/>
        <w:numPr>
          <w:ilvl w:val="0"/>
          <w:numId w:val="47"/>
        </w:numPr>
        <w:shd w:val="clear" w:color="auto" w:fill="FFFFFF"/>
        <w:spacing w:after="0" w:line="240" w:lineRule="auto"/>
        <w:ind w:left="426" w:hanging="284"/>
        <w:jc w:val="both"/>
        <w:rPr>
          <w:sz w:val="20"/>
          <w:szCs w:val="20"/>
        </w:rPr>
      </w:pPr>
      <w:r w:rsidRPr="007C6B0E">
        <w:rPr>
          <w:sz w:val="20"/>
          <w:szCs w:val="20"/>
        </w:rPr>
        <w:lastRenderedPageBreak/>
        <w:t xml:space="preserve">Δηλαδή αιτούμαστε να καταβάλλεται κανονικά ως </w:t>
      </w:r>
      <w:r w:rsidRPr="007C6B0E">
        <w:rPr>
          <w:b/>
          <w:bCs/>
          <w:sz w:val="20"/>
          <w:szCs w:val="20"/>
          <w:u w:val="single"/>
        </w:rPr>
        <w:t>Α’ Σκέλος</w:t>
      </w:r>
      <w:r w:rsidRPr="007C6B0E">
        <w:rPr>
          <w:sz w:val="20"/>
          <w:szCs w:val="20"/>
        </w:rPr>
        <w:t xml:space="preserve"> ο αντιλογισμός της υπερδήλωσης/υποδήλωσης που αφορά στο γινόμενο:</w:t>
      </w:r>
    </w:p>
    <w:p w14:paraId="5AA40C4F" w14:textId="77777777" w:rsidR="00E5380A" w:rsidRPr="00CB02CA" w:rsidRDefault="00E5380A" w:rsidP="007C6B0E">
      <w:pPr>
        <w:shd w:val="clear" w:color="auto" w:fill="FFFFFF"/>
        <w:spacing w:after="0" w:line="240" w:lineRule="auto"/>
        <w:ind w:left="426" w:hanging="284"/>
        <w:jc w:val="both"/>
        <w:rPr>
          <w:sz w:val="20"/>
          <w:szCs w:val="20"/>
        </w:rPr>
      </w:pPr>
    </w:p>
    <w:p w14:paraId="62792975" w14:textId="4C844131" w:rsidR="00E5380A" w:rsidRPr="007C6B0E" w:rsidRDefault="00E5380A" w:rsidP="007C6B0E">
      <w:pPr>
        <w:shd w:val="clear" w:color="auto" w:fill="FFFFFF"/>
        <w:spacing w:after="0" w:line="240" w:lineRule="auto"/>
        <w:jc w:val="center"/>
        <w:rPr>
          <w:sz w:val="20"/>
          <w:szCs w:val="20"/>
        </w:rPr>
      </w:pPr>
      <w:r w:rsidRPr="007C6B0E">
        <w:rPr>
          <w:i/>
          <w:iCs/>
          <w:sz w:val="20"/>
          <w:szCs w:val="20"/>
        </w:rPr>
        <w:t xml:space="preserve">(Εγχυθείσα Ενέργεια – Πρόγραμμα Παραγωγής) </w:t>
      </w:r>
      <w:r w:rsidRPr="007C6B0E">
        <w:rPr>
          <w:i/>
          <w:iCs/>
          <w:sz w:val="20"/>
          <w:szCs w:val="20"/>
          <w:lang w:val="en-US"/>
        </w:rPr>
        <w:t>x</w:t>
      </w:r>
      <w:r w:rsidRPr="007C6B0E">
        <w:rPr>
          <w:i/>
          <w:iCs/>
          <w:sz w:val="20"/>
          <w:szCs w:val="20"/>
        </w:rPr>
        <w:t xml:space="preserve"> ΤΕΑ</w:t>
      </w:r>
    </w:p>
    <w:p w14:paraId="5D3869E2" w14:textId="77777777" w:rsidR="00E5380A" w:rsidRPr="00CB02CA" w:rsidRDefault="00E5380A" w:rsidP="007C6B0E">
      <w:pPr>
        <w:shd w:val="clear" w:color="auto" w:fill="FFFFFF"/>
        <w:spacing w:after="0" w:line="240" w:lineRule="auto"/>
        <w:ind w:left="426" w:hanging="284"/>
        <w:jc w:val="both"/>
        <w:rPr>
          <w:sz w:val="20"/>
          <w:szCs w:val="20"/>
        </w:rPr>
      </w:pPr>
    </w:p>
    <w:p w14:paraId="5842F105" w14:textId="3FA6B90C" w:rsidR="00E5380A" w:rsidRPr="007C6B0E" w:rsidRDefault="00E5380A" w:rsidP="007C6B0E">
      <w:pPr>
        <w:pStyle w:val="ListParagraph"/>
        <w:shd w:val="clear" w:color="auto" w:fill="FFFFFF"/>
        <w:spacing w:after="0" w:line="240" w:lineRule="auto"/>
        <w:ind w:left="426"/>
        <w:jc w:val="both"/>
        <w:rPr>
          <w:sz w:val="20"/>
          <w:szCs w:val="20"/>
        </w:rPr>
      </w:pPr>
      <w:r w:rsidRPr="007C6B0E">
        <w:rPr>
          <w:sz w:val="20"/>
          <w:szCs w:val="20"/>
        </w:rPr>
        <w:t xml:space="preserve">ώστε οι οντότητες αυτές να συνεχίσουν να πληρώνονται επί των πραγματικών </w:t>
      </w:r>
      <w:r w:rsidRPr="007C6B0E">
        <w:rPr>
          <w:sz w:val="20"/>
          <w:szCs w:val="20"/>
          <w:lang w:val="en-US"/>
        </w:rPr>
        <w:t>MWh</w:t>
      </w:r>
      <w:r w:rsidRPr="007C6B0E">
        <w:rPr>
          <w:sz w:val="20"/>
          <w:szCs w:val="20"/>
        </w:rPr>
        <w:t xml:space="preserve"> που έγχυσαν στο σημείο σύνδεσης, αλλά να αποφεύγεται για αποκλίσεις εντός του ορίου +/-</w:t>
      </w:r>
      <w:r w:rsidRPr="007C6B0E">
        <w:rPr>
          <w:sz w:val="20"/>
          <w:szCs w:val="20"/>
          <w:lang w:val="en-US"/>
        </w:rPr>
        <w:t>TOLRES</w:t>
      </w:r>
      <w:r w:rsidRPr="007C6B0E">
        <w:rPr>
          <w:sz w:val="20"/>
          <w:szCs w:val="20"/>
        </w:rPr>
        <w:t xml:space="preserve"> το πρόσθετο </w:t>
      </w:r>
      <w:r w:rsidRPr="007C6B0E">
        <w:rPr>
          <w:b/>
          <w:bCs/>
          <w:sz w:val="20"/>
          <w:szCs w:val="20"/>
          <w:u w:val="single"/>
        </w:rPr>
        <w:t>Β’ Σκέλος</w:t>
      </w:r>
      <w:r w:rsidRPr="007C6B0E">
        <w:rPr>
          <w:sz w:val="20"/>
          <w:szCs w:val="20"/>
        </w:rPr>
        <w:t xml:space="preserve"> κόστους (ποινή</w:t>
      </w:r>
      <w:r w:rsidR="00B57588">
        <w:rPr>
          <w:sz w:val="20"/>
          <w:szCs w:val="20"/>
        </w:rPr>
        <w:t xml:space="preserve"> λόγω ευθύνης εξισορρόπησης</w:t>
      </w:r>
      <w:r w:rsidRPr="007C6B0E">
        <w:rPr>
          <w:sz w:val="20"/>
          <w:szCs w:val="20"/>
        </w:rPr>
        <w:t>) που προκαλεί το γινόμενο:</w:t>
      </w:r>
    </w:p>
    <w:p w14:paraId="1B253891" w14:textId="77777777" w:rsidR="00E5380A" w:rsidRPr="00CB02CA" w:rsidRDefault="00E5380A" w:rsidP="007C6B0E">
      <w:pPr>
        <w:shd w:val="clear" w:color="auto" w:fill="FFFFFF"/>
        <w:spacing w:after="0" w:line="240" w:lineRule="auto"/>
        <w:ind w:left="426" w:hanging="284"/>
        <w:jc w:val="both"/>
        <w:rPr>
          <w:sz w:val="20"/>
          <w:szCs w:val="20"/>
        </w:rPr>
      </w:pPr>
    </w:p>
    <w:p w14:paraId="7DF7CDCA" w14:textId="08C5E319" w:rsidR="00E5380A" w:rsidRPr="007C6B0E" w:rsidRDefault="00E5380A" w:rsidP="007C6B0E">
      <w:pPr>
        <w:pStyle w:val="ListParagraph"/>
        <w:shd w:val="clear" w:color="auto" w:fill="FFFFFF"/>
        <w:spacing w:after="0" w:line="240" w:lineRule="auto"/>
        <w:ind w:left="426"/>
        <w:jc w:val="center"/>
        <w:rPr>
          <w:sz w:val="20"/>
          <w:szCs w:val="20"/>
        </w:rPr>
      </w:pPr>
      <w:r w:rsidRPr="007C6B0E">
        <w:rPr>
          <w:i/>
          <w:iCs/>
          <w:sz w:val="20"/>
          <w:szCs w:val="20"/>
        </w:rPr>
        <w:t xml:space="preserve">(Εγχυθείσα Ενέργεια – Πρόγραμμα Παραγωγής) </w:t>
      </w:r>
      <w:r w:rsidRPr="007C6B0E">
        <w:rPr>
          <w:i/>
          <w:iCs/>
          <w:sz w:val="20"/>
          <w:szCs w:val="20"/>
          <w:lang w:val="en-US"/>
        </w:rPr>
        <w:t>x</w:t>
      </w:r>
      <w:r w:rsidRPr="007C6B0E">
        <w:rPr>
          <w:i/>
          <w:iCs/>
          <w:sz w:val="20"/>
          <w:szCs w:val="20"/>
        </w:rPr>
        <w:t xml:space="preserve"> (Τιμή Αποκλίσεων – ΤΕΑ)</w:t>
      </w:r>
    </w:p>
    <w:p w14:paraId="269ECAA7" w14:textId="77777777" w:rsidR="00E5380A" w:rsidRPr="00CB02CA" w:rsidRDefault="00E5380A" w:rsidP="007C6B0E">
      <w:pPr>
        <w:shd w:val="clear" w:color="auto" w:fill="FFFFFF"/>
        <w:spacing w:after="0" w:line="240" w:lineRule="auto"/>
        <w:ind w:left="426" w:hanging="284"/>
        <w:jc w:val="both"/>
        <w:rPr>
          <w:sz w:val="20"/>
          <w:szCs w:val="20"/>
        </w:rPr>
      </w:pPr>
    </w:p>
    <w:p w14:paraId="34D11D58" w14:textId="0A9292B1" w:rsidR="00E5380A" w:rsidRDefault="00E5380A" w:rsidP="007C6B0E">
      <w:pPr>
        <w:pStyle w:val="ListParagraph"/>
        <w:spacing w:after="0" w:line="240" w:lineRule="auto"/>
        <w:ind w:left="426"/>
        <w:jc w:val="both"/>
        <w:rPr>
          <w:rFonts w:cstheme="minorHAnsi"/>
          <w:sz w:val="20"/>
          <w:szCs w:val="20"/>
        </w:rPr>
      </w:pPr>
      <w:r w:rsidRPr="007C6B0E">
        <w:rPr>
          <w:rFonts w:cstheme="minorHAnsi"/>
          <w:sz w:val="20"/>
          <w:szCs w:val="20"/>
        </w:rPr>
        <w:t xml:space="preserve">Εξυπακούεται πως το μέγεθος </w:t>
      </w:r>
      <w:r w:rsidRPr="007C6B0E">
        <w:rPr>
          <w:rFonts w:cstheme="minorHAnsi"/>
          <w:sz w:val="20"/>
          <w:szCs w:val="20"/>
          <w:lang w:val="en-US"/>
        </w:rPr>
        <w:t>TOLRES</w:t>
      </w:r>
      <w:r w:rsidRPr="007C6B0E">
        <w:rPr>
          <w:rFonts w:cstheme="minorHAnsi"/>
          <w:sz w:val="20"/>
          <w:szCs w:val="20"/>
        </w:rPr>
        <w:t xml:space="preserve"> </w:t>
      </w:r>
      <w:r w:rsidR="007C6B0E">
        <w:rPr>
          <w:rFonts w:cstheme="minorHAnsi"/>
          <w:sz w:val="20"/>
          <w:szCs w:val="20"/>
        </w:rPr>
        <w:t xml:space="preserve">(προτείνουμε να </w:t>
      </w:r>
      <w:r w:rsidR="000E26B3">
        <w:rPr>
          <w:rFonts w:cstheme="minorHAnsi"/>
          <w:sz w:val="20"/>
          <w:szCs w:val="20"/>
        </w:rPr>
        <w:t>καταστεί</w:t>
      </w:r>
      <w:r w:rsidR="007C6B0E">
        <w:rPr>
          <w:rFonts w:cstheme="minorHAnsi"/>
          <w:sz w:val="20"/>
          <w:szCs w:val="20"/>
        </w:rPr>
        <w:t xml:space="preserve"> ποσοστιαίο) </w:t>
      </w:r>
      <w:r w:rsidRPr="007C6B0E">
        <w:rPr>
          <w:rFonts w:cstheme="minorHAnsi"/>
          <w:sz w:val="20"/>
          <w:szCs w:val="20"/>
        </w:rPr>
        <w:t xml:space="preserve">που </w:t>
      </w:r>
      <w:r w:rsidR="007C6B0E">
        <w:rPr>
          <w:rFonts w:cstheme="minorHAnsi"/>
          <w:sz w:val="20"/>
          <w:szCs w:val="20"/>
        </w:rPr>
        <w:t xml:space="preserve">θα </w:t>
      </w:r>
      <w:r w:rsidRPr="007C6B0E">
        <w:rPr>
          <w:rFonts w:cstheme="minorHAnsi"/>
          <w:sz w:val="20"/>
          <w:szCs w:val="20"/>
        </w:rPr>
        <w:t>καθορίζεται με απόφαση της ΡΑΕ</w:t>
      </w:r>
      <w:r w:rsidRPr="007C6B0E">
        <w:rPr>
          <w:rFonts w:eastAsia="MS Mincho"/>
          <w:sz w:val="20"/>
          <w:szCs w:val="20"/>
          <w:lang w:eastAsia="el-GR"/>
        </w:rPr>
        <w:t xml:space="preserve"> χωριστά ανά τεχνολογία </w:t>
      </w:r>
      <w:r w:rsidRPr="007C6B0E">
        <w:rPr>
          <w:rFonts w:eastAsia="MS Mincho"/>
          <w:sz w:val="20"/>
          <w:szCs w:val="20"/>
          <w:lang w:val="en-US" w:eastAsia="el-GR"/>
        </w:rPr>
        <w:t>tech</w:t>
      </w:r>
      <w:r w:rsidRPr="007C6B0E">
        <w:rPr>
          <w:rFonts w:eastAsia="MS Mincho"/>
          <w:sz w:val="20"/>
          <w:szCs w:val="20"/>
          <w:lang w:eastAsia="el-GR"/>
        </w:rPr>
        <w:t xml:space="preserve"> και το επίπεδο εγκατεστημένης ισχύος P</w:t>
      </w:r>
      <w:r w:rsidRPr="007C6B0E">
        <w:rPr>
          <w:rFonts w:eastAsia="MS Mincho"/>
          <w:sz w:val="20"/>
          <w:szCs w:val="20"/>
          <w:vertAlign w:val="subscript"/>
          <w:lang w:eastAsia="el-GR"/>
        </w:rPr>
        <w:t>inst</w:t>
      </w:r>
      <w:r w:rsidRPr="007C6B0E">
        <w:rPr>
          <w:rFonts w:eastAsia="MS Mincho"/>
          <w:sz w:val="20"/>
          <w:szCs w:val="20"/>
          <w:lang w:eastAsia="el-GR"/>
        </w:rPr>
        <w:t xml:space="preserve"> της Μονάδας ΑΠΕ και ΣΗΘΥΑ που συμμετέχει απευθείας στην αγορά Ηλεκτρικής Ενέργειας ή του Χαρτοφυλακίου Μονάδων ΑΠΕ και ΣΗΘΥΑ αντίστοιχα</w:t>
      </w:r>
      <w:r w:rsidRPr="007C6B0E">
        <w:rPr>
          <w:rFonts w:cstheme="minorHAnsi"/>
          <w:sz w:val="20"/>
          <w:szCs w:val="20"/>
        </w:rPr>
        <w:t xml:space="preserve">, </w:t>
      </w:r>
      <w:r w:rsidRPr="007C6B0E">
        <w:rPr>
          <w:rFonts w:cstheme="minorHAnsi"/>
          <w:b/>
          <w:bCs/>
          <w:sz w:val="20"/>
          <w:szCs w:val="20"/>
          <w:u w:val="single"/>
        </w:rPr>
        <w:t>θα οριστεί έτσι ώστε</w:t>
      </w:r>
      <w:r w:rsidRPr="007C6B0E">
        <w:rPr>
          <w:rFonts w:cstheme="minorHAnsi"/>
          <w:sz w:val="20"/>
          <w:szCs w:val="20"/>
        </w:rPr>
        <w:t xml:space="preserve"> να μην προκύπτουν και πάλι υπέρογκα κόστη ευθύνης εξισορρόπησης για τις εν θέματι οντότητες και που δεν μπορούν να τα αντέξουν.  </w:t>
      </w:r>
    </w:p>
    <w:p w14:paraId="34124BCB" w14:textId="3CF28D21" w:rsidR="002E28A9" w:rsidRDefault="002E28A9" w:rsidP="007C6B0E">
      <w:pPr>
        <w:pStyle w:val="ListParagraph"/>
        <w:spacing w:after="0" w:line="240" w:lineRule="auto"/>
        <w:ind w:left="426"/>
        <w:jc w:val="both"/>
        <w:rPr>
          <w:rFonts w:cstheme="minorHAnsi"/>
          <w:sz w:val="20"/>
          <w:szCs w:val="20"/>
        </w:rPr>
      </w:pPr>
    </w:p>
    <w:p w14:paraId="401CF16C" w14:textId="44AF84A7" w:rsidR="002E28A9" w:rsidRPr="002E28A9" w:rsidRDefault="00120AD6" w:rsidP="002E28A9">
      <w:pPr>
        <w:pStyle w:val="ListParagraph"/>
        <w:numPr>
          <w:ilvl w:val="0"/>
          <w:numId w:val="47"/>
        </w:numPr>
        <w:spacing w:after="0" w:line="240" w:lineRule="auto"/>
        <w:ind w:left="426" w:hanging="284"/>
        <w:jc w:val="both"/>
        <w:rPr>
          <w:rFonts w:cstheme="minorHAnsi"/>
          <w:sz w:val="20"/>
          <w:szCs w:val="20"/>
        </w:rPr>
      </w:pPr>
      <w:r>
        <w:rPr>
          <w:rFonts w:cstheme="minorHAnsi"/>
          <w:b/>
          <w:bCs/>
          <w:sz w:val="20"/>
          <w:szCs w:val="20"/>
          <w:u w:val="single"/>
        </w:rPr>
        <w:t xml:space="preserve">Υπό την επιφύλαξη λοιπόν της μη ολοσχερούς απαλλαγής του χαρτοφυλακίου ΑΠΕ με ΣΠΗΕ και ΣΕΣΤ του ΔΑΠΕΕΠ από ευθύνη εξισορρόπησης όπως </w:t>
      </w:r>
      <w:r w:rsidR="004B5F33">
        <w:rPr>
          <w:rFonts w:cstheme="minorHAnsi"/>
          <w:b/>
          <w:bCs/>
          <w:sz w:val="20"/>
          <w:szCs w:val="20"/>
          <w:u w:val="single"/>
        </w:rPr>
        <w:t xml:space="preserve">ανωτέρω </w:t>
      </w:r>
      <w:r>
        <w:rPr>
          <w:rFonts w:cstheme="minorHAnsi"/>
          <w:b/>
          <w:bCs/>
          <w:sz w:val="20"/>
          <w:szCs w:val="20"/>
          <w:u w:val="single"/>
        </w:rPr>
        <w:t xml:space="preserve">αιτούμαστε </w:t>
      </w:r>
      <w:r w:rsidRPr="00427173">
        <w:rPr>
          <w:rFonts w:cstheme="minorHAnsi"/>
          <w:b/>
          <w:bCs/>
          <w:sz w:val="20"/>
          <w:szCs w:val="20"/>
          <w:u w:val="single"/>
        </w:rPr>
        <w:t>και που εκ του νόμου τα έργα αυτά δεν φέρουν υποχρεώσεις εξισορρόπησης</w:t>
      </w:r>
      <w:r>
        <w:rPr>
          <w:rFonts w:cstheme="minorHAnsi"/>
          <w:b/>
          <w:bCs/>
          <w:sz w:val="20"/>
          <w:szCs w:val="20"/>
          <w:u w:val="single"/>
        </w:rPr>
        <w:t xml:space="preserve">, </w:t>
      </w:r>
      <w:r w:rsidR="002E28A9" w:rsidRPr="00B57588">
        <w:rPr>
          <w:rFonts w:cstheme="minorHAnsi"/>
          <w:b/>
          <w:bCs/>
          <w:sz w:val="20"/>
          <w:szCs w:val="20"/>
          <w:u w:val="single"/>
        </w:rPr>
        <w:t>η ρύθμιση μέσω των ορίων +/-</w:t>
      </w:r>
      <w:r w:rsidR="002E28A9" w:rsidRPr="00B57588">
        <w:rPr>
          <w:rFonts w:cstheme="minorHAnsi"/>
          <w:b/>
          <w:bCs/>
          <w:sz w:val="20"/>
          <w:szCs w:val="20"/>
          <w:u w:val="single"/>
          <w:lang w:val="en-US"/>
        </w:rPr>
        <w:t>TOLRES</w:t>
      </w:r>
      <w:r w:rsidR="002E28A9" w:rsidRPr="00B57588">
        <w:rPr>
          <w:rFonts w:cstheme="minorHAnsi"/>
          <w:b/>
          <w:bCs/>
          <w:sz w:val="20"/>
          <w:szCs w:val="20"/>
          <w:u w:val="single"/>
        </w:rPr>
        <w:t xml:space="preserve"> θα μπορούσε να λειτουργήσει εναλλακτικά</w:t>
      </w:r>
      <w:r>
        <w:rPr>
          <w:rFonts w:cstheme="minorHAnsi"/>
          <w:b/>
          <w:bCs/>
          <w:sz w:val="20"/>
          <w:szCs w:val="20"/>
          <w:u w:val="single"/>
        </w:rPr>
        <w:t xml:space="preserve"> ώστε να περιοριστεί δραστικά το Β’ Σκέλος των Αποκλίσεων που τροφοδοτείται από το κόστος εξισορρόπησης μέσω της διαφοράς της Τιμής Αποκλίσεων από την ΤΕΑ</w:t>
      </w:r>
      <w:r w:rsidR="002E28A9">
        <w:rPr>
          <w:rFonts w:cstheme="minorHAnsi"/>
          <w:sz w:val="20"/>
          <w:szCs w:val="20"/>
        </w:rPr>
        <w:t xml:space="preserve">.   </w:t>
      </w:r>
    </w:p>
    <w:p w14:paraId="70525B21" w14:textId="1175DF7A" w:rsidR="00A25FE3" w:rsidRDefault="00A25FE3" w:rsidP="00A83906">
      <w:pPr>
        <w:spacing w:after="0" w:line="240" w:lineRule="auto"/>
        <w:jc w:val="both"/>
        <w:rPr>
          <w:rFonts w:cstheme="minorHAnsi"/>
          <w:sz w:val="20"/>
          <w:szCs w:val="20"/>
        </w:rPr>
      </w:pPr>
    </w:p>
    <w:p w14:paraId="720B053D" w14:textId="77777777" w:rsidR="00427173" w:rsidRDefault="00427173" w:rsidP="00A83906">
      <w:pPr>
        <w:spacing w:after="0" w:line="240" w:lineRule="auto"/>
        <w:jc w:val="both"/>
        <w:rPr>
          <w:rFonts w:cstheme="minorHAnsi"/>
          <w:sz w:val="20"/>
          <w:szCs w:val="20"/>
        </w:rPr>
      </w:pPr>
    </w:p>
    <w:p w14:paraId="43BE3312" w14:textId="27F89318" w:rsidR="00427173" w:rsidRPr="007E4161" w:rsidRDefault="00B57588" w:rsidP="00427173">
      <w:pPr>
        <w:shd w:val="clear" w:color="auto" w:fill="FFFFFF"/>
        <w:spacing w:after="0" w:line="240" w:lineRule="auto"/>
        <w:ind w:left="284" w:hanging="284"/>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ΣΤ</w:t>
      </w:r>
      <w:r w:rsidR="00427173">
        <w:rPr>
          <w:rFonts w:eastAsia="Times New Roman" w:cstheme="minorHAnsi"/>
          <w:b/>
          <w:bCs/>
          <w:color w:val="222222"/>
          <w:sz w:val="20"/>
          <w:szCs w:val="20"/>
          <w:u w:val="single"/>
          <w:lang w:eastAsia="el-GR"/>
        </w:rPr>
        <w:t>. Κατάργηση των εγγυήσεων που καταβάλλει ο ΔΑΠΕΕΠ στην Αγορά Εξισορρόπησης</w:t>
      </w:r>
      <w:r w:rsidR="009C2E86">
        <w:rPr>
          <w:rFonts w:eastAsia="Times New Roman" w:cstheme="minorHAnsi"/>
          <w:b/>
          <w:bCs/>
          <w:color w:val="222222"/>
          <w:sz w:val="20"/>
          <w:szCs w:val="20"/>
          <w:u w:val="single"/>
          <w:lang w:eastAsia="el-GR"/>
        </w:rPr>
        <w:t xml:space="preserve"> για το χαρτοφυλάκιο έργων με ΣΠΗΕ και ΣΕΣΤ</w:t>
      </w:r>
      <w:r w:rsidR="00427173">
        <w:rPr>
          <w:rFonts w:eastAsia="Times New Roman" w:cstheme="minorHAnsi"/>
          <w:b/>
          <w:bCs/>
          <w:color w:val="222222"/>
          <w:sz w:val="20"/>
          <w:szCs w:val="20"/>
          <w:u w:val="single"/>
          <w:lang w:eastAsia="el-GR"/>
        </w:rPr>
        <w:t xml:space="preserve"> </w:t>
      </w:r>
    </w:p>
    <w:p w14:paraId="72BA06B6" w14:textId="77777777" w:rsidR="00427173" w:rsidRDefault="00427173" w:rsidP="00427173">
      <w:pPr>
        <w:shd w:val="clear" w:color="auto" w:fill="FFFFFF"/>
        <w:spacing w:after="0" w:line="240" w:lineRule="auto"/>
        <w:jc w:val="both"/>
        <w:rPr>
          <w:rFonts w:eastAsia="Times New Roman" w:cstheme="minorHAnsi"/>
          <w:color w:val="222222"/>
          <w:sz w:val="20"/>
          <w:szCs w:val="20"/>
          <w:lang w:eastAsia="el-GR"/>
        </w:rPr>
      </w:pPr>
    </w:p>
    <w:p w14:paraId="65A077C4" w14:textId="0BE0724D" w:rsidR="00427173" w:rsidRDefault="00427173" w:rsidP="00427173">
      <w:pPr>
        <w:pStyle w:val="ListParagraph"/>
        <w:numPr>
          <w:ilvl w:val="0"/>
          <w:numId w:val="45"/>
        </w:numPr>
        <w:spacing w:after="0" w:line="240" w:lineRule="auto"/>
        <w:ind w:left="426" w:hanging="284"/>
        <w:jc w:val="both"/>
        <w:rPr>
          <w:rFonts w:cstheme="minorHAnsi"/>
          <w:sz w:val="20"/>
          <w:szCs w:val="20"/>
        </w:rPr>
      </w:pPr>
      <w:r w:rsidRPr="00E62667">
        <w:rPr>
          <w:rFonts w:cstheme="minorHAnsi"/>
          <w:sz w:val="20"/>
          <w:szCs w:val="20"/>
        </w:rPr>
        <w:t xml:space="preserve">Όπως </w:t>
      </w:r>
      <w:r>
        <w:rPr>
          <w:rFonts w:cstheme="minorHAnsi"/>
          <w:sz w:val="20"/>
          <w:szCs w:val="20"/>
        </w:rPr>
        <w:t>γνωρίζετε ο ΔΑΠΕΕΠ μέσω του χαρτοφυλακίου έργων ΑΠΕ με ΣΠΗΕ και ΣΕΣΤ που διαχειρίζεται και εκπροσωπεί στην χονδρεμπορική αγορά ηλεκτρικής ενέργειας, λειτουργεί διαχρονικά ως καθαρός τροφοδότης του συστήματος</w:t>
      </w:r>
      <w:r w:rsidR="00035355">
        <w:rPr>
          <w:rFonts w:cstheme="minorHAnsi"/>
          <w:sz w:val="20"/>
          <w:szCs w:val="20"/>
        </w:rPr>
        <w:t xml:space="preserve"> σε ηλεκτρισμό</w:t>
      </w:r>
      <w:r>
        <w:rPr>
          <w:rFonts w:cstheme="minorHAnsi"/>
          <w:sz w:val="20"/>
          <w:szCs w:val="20"/>
        </w:rPr>
        <w:t xml:space="preserve">.  Για την ενέργεια μάλιστα αυτή, ο ΔΑΠΕΕΠ και αλυσιτελώς </w:t>
      </w:r>
      <w:r w:rsidRPr="00A64164">
        <w:rPr>
          <w:rFonts w:cstheme="minorHAnsi"/>
          <w:b/>
          <w:bCs/>
          <w:sz w:val="20"/>
          <w:szCs w:val="20"/>
          <w:u w:val="single"/>
        </w:rPr>
        <w:t>ο ΕΛΑΠΕ και οι παραγωγοί ΑΠΕ βιώνουν από τον Οκτώβριο του 2011 και μετά συστηματικές υπερημερίες στις αποπληρωμές τους.</w:t>
      </w:r>
      <w:r>
        <w:rPr>
          <w:rFonts w:cstheme="minorHAnsi"/>
          <w:sz w:val="20"/>
          <w:szCs w:val="20"/>
        </w:rPr>
        <w:t xml:space="preserve">  </w:t>
      </w:r>
    </w:p>
    <w:p w14:paraId="581F7996" w14:textId="77777777" w:rsidR="00427173" w:rsidRDefault="00427173" w:rsidP="00427173">
      <w:pPr>
        <w:pStyle w:val="ListParagraph"/>
        <w:spacing w:after="0" w:line="240" w:lineRule="auto"/>
        <w:ind w:left="426"/>
        <w:jc w:val="both"/>
        <w:rPr>
          <w:rFonts w:cstheme="minorHAnsi"/>
          <w:sz w:val="20"/>
          <w:szCs w:val="20"/>
        </w:rPr>
      </w:pPr>
    </w:p>
    <w:p w14:paraId="4A885219" w14:textId="77600FE3" w:rsidR="00427173" w:rsidRPr="00A64164" w:rsidRDefault="00427173" w:rsidP="00427173">
      <w:pPr>
        <w:pStyle w:val="ListParagraph"/>
        <w:numPr>
          <w:ilvl w:val="0"/>
          <w:numId w:val="45"/>
        </w:numPr>
        <w:spacing w:after="0" w:line="240" w:lineRule="auto"/>
        <w:ind w:left="426" w:hanging="284"/>
        <w:jc w:val="both"/>
        <w:rPr>
          <w:rFonts w:cstheme="minorHAnsi"/>
          <w:b/>
          <w:bCs/>
          <w:u w:val="single"/>
        </w:rPr>
      </w:pPr>
      <w:r w:rsidRPr="008A0EDE">
        <w:rPr>
          <w:rFonts w:cstheme="minorHAnsi"/>
          <w:sz w:val="20"/>
          <w:szCs w:val="20"/>
        </w:rPr>
        <w:t xml:space="preserve">Οι υπερημερίες αυτές </w:t>
      </w:r>
      <w:r>
        <w:rPr>
          <w:rFonts w:cstheme="minorHAnsi"/>
          <w:sz w:val="20"/>
          <w:szCs w:val="20"/>
        </w:rPr>
        <w:t xml:space="preserve">δεν </w:t>
      </w:r>
      <w:r w:rsidRPr="008A0EDE">
        <w:rPr>
          <w:rFonts w:cstheme="minorHAnsi"/>
          <w:sz w:val="20"/>
          <w:szCs w:val="20"/>
        </w:rPr>
        <w:t xml:space="preserve">έχουν να κάνουν </w:t>
      </w:r>
      <w:r>
        <w:rPr>
          <w:rFonts w:cstheme="minorHAnsi"/>
          <w:sz w:val="20"/>
          <w:szCs w:val="20"/>
        </w:rPr>
        <w:t xml:space="preserve">μόνο </w:t>
      </w:r>
      <w:r w:rsidRPr="008A0EDE">
        <w:rPr>
          <w:rFonts w:cstheme="minorHAnsi"/>
          <w:sz w:val="20"/>
          <w:szCs w:val="20"/>
        </w:rPr>
        <w:t xml:space="preserve">με το κατά καιρούς λογιστικό έλλειμα του ΕΛΑΠΕ ένεκα κυρίως του φαινομένου του </w:t>
      </w:r>
      <w:r w:rsidRPr="008A0EDE">
        <w:rPr>
          <w:rFonts w:cstheme="minorHAnsi"/>
          <w:sz w:val="20"/>
          <w:szCs w:val="20"/>
          <w:lang w:val="en-US"/>
        </w:rPr>
        <w:t>Merit</w:t>
      </w:r>
      <w:r w:rsidRPr="008A0EDE">
        <w:rPr>
          <w:rFonts w:cstheme="minorHAnsi"/>
          <w:sz w:val="20"/>
          <w:szCs w:val="20"/>
        </w:rPr>
        <w:t xml:space="preserve"> </w:t>
      </w:r>
      <w:r w:rsidRPr="008A0EDE">
        <w:rPr>
          <w:rFonts w:cstheme="minorHAnsi"/>
          <w:sz w:val="20"/>
          <w:szCs w:val="20"/>
          <w:lang w:val="en-US"/>
        </w:rPr>
        <w:t>Order</w:t>
      </w:r>
      <w:r w:rsidRPr="008A0EDE">
        <w:rPr>
          <w:rFonts w:cstheme="minorHAnsi"/>
          <w:sz w:val="20"/>
          <w:szCs w:val="20"/>
        </w:rPr>
        <w:t xml:space="preserve"> </w:t>
      </w:r>
      <w:r w:rsidRPr="008A0EDE">
        <w:rPr>
          <w:rFonts w:cstheme="minorHAnsi"/>
          <w:sz w:val="20"/>
          <w:szCs w:val="20"/>
          <w:lang w:val="en-US"/>
        </w:rPr>
        <w:t>Effect</w:t>
      </w:r>
      <w:r w:rsidRPr="008A0EDE">
        <w:rPr>
          <w:rFonts w:cstheme="minorHAnsi"/>
          <w:sz w:val="20"/>
          <w:szCs w:val="20"/>
        </w:rPr>
        <w:t xml:space="preserve"> (δηλαδή της </w:t>
      </w:r>
      <w:r w:rsidR="00035355">
        <w:rPr>
          <w:rFonts w:cstheme="minorHAnsi"/>
          <w:sz w:val="20"/>
          <w:szCs w:val="20"/>
        </w:rPr>
        <w:t>μείωσης</w:t>
      </w:r>
      <w:r w:rsidRPr="008A0EDE">
        <w:rPr>
          <w:rFonts w:cstheme="minorHAnsi"/>
          <w:sz w:val="20"/>
          <w:szCs w:val="20"/>
        </w:rPr>
        <w:t xml:space="preserve"> των χονδρεμπ</w:t>
      </w:r>
      <w:r>
        <w:rPr>
          <w:rFonts w:cstheme="minorHAnsi"/>
          <w:sz w:val="20"/>
          <w:szCs w:val="20"/>
        </w:rPr>
        <w:t>ο</w:t>
      </w:r>
      <w:r w:rsidRPr="008A0EDE">
        <w:rPr>
          <w:rFonts w:cstheme="minorHAnsi"/>
          <w:sz w:val="20"/>
          <w:szCs w:val="20"/>
        </w:rPr>
        <w:t>ρικών τιμών του ρεύματος που προκαλούν οι ΑΠΕ)</w:t>
      </w:r>
      <w:r>
        <w:rPr>
          <w:rFonts w:cstheme="minorHAnsi"/>
          <w:sz w:val="20"/>
          <w:szCs w:val="20"/>
        </w:rPr>
        <w:t>,</w:t>
      </w:r>
      <w:r w:rsidRPr="008A0EDE">
        <w:rPr>
          <w:rFonts w:cstheme="minorHAnsi"/>
          <w:sz w:val="20"/>
          <w:szCs w:val="20"/>
        </w:rPr>
        <w:t xml:space="preserve"> </w:t>
      </w:r>
      <w:r>
        <w:rPr>
          <w:rFonts w:cstheme="minorHAnsi"/>
          <w:sz w:val="20"/>
          <w:szCs w:val="20"/>
        </w:rPr>
        <w:t>αλλά με</w:t>
      </w:r>
      <w:r w:rsidRPr="008A0EDE">
        <w:rPr>
          <w:rFonts w:cstheme="minorHAnsi"/>
          <w:sz w:val="20"/>
          <w:szCs w:val="20"/>
        </w:rPr>
        <w:t xml:space="preserve"> την εκάστοτε </w:t>
      </w:r>
      <w:r w:rsidRPr="00A64164">
        <w:rPr>
          <w:rFonts w:cstheme="minorHAnsi"/>
          <w:b/>
          <w:bCs/>
          <w:sz w:val="20"/>
          <w:szCs w:val="20"/>
          <w:u w:val="single"/>
        </w:rPr>
        <w:t>ανακολουθία της Προμήθειας στην απόδοση πόρων, ιδίως του ΕΤΜΕΑΡ, που οφείλουν στον ΕΛΑΠΕ</w:t>
      </w:r>
      <w:r w:rsidRPr="008A0EDE">
        <w:rPr>
          <w:rFonts w:cstheme="minorHAnsi"/>
          <w:sz w:val="20"/>
          <w:szCs w:val="20"/>
        </w:rPr>
        <w:t xml:space="preserve"> και που έτσι του δημιουργούν ταμιακό έλλειμμα.  Για την αποτροπή </w:t>
      </w:r>
      <w:r w:rsidR="00A32647">
        <w:rPr>
          <w:rFonts w:cstheme="minorHAnsi"/>
          <w:sz w:val="20"/>
          <w:szCs w:val="20"/>
        </w:rPr>
        <w:t>των</w:t>
      </w:r>
      <w:r w:rsidRPr="008A0EDE">
        <w:rPr>
          <w:rFonts w:cstheme="minorHAnsi"/>
          <w:sz w:val="20"/>
          <w:szCs w:val="20"/>
        </w:rPr>
        <w:t xml:space="preserve"> </w:t>
      </w:r>
      <w:r>
        <w:rPr>
          <w:rFonts w:cstheme="minorHAnsi"/>
          <w:sz w:val="20"/>
          <w:szCs w:val="20"/>
        </w:rPr>
        <w:t>καθυστερήσε</w:t>
      </w:r>
      <w:r w:rsidR="00A32647">
        <w:rPr>
          <w:rFonts w:cstheme="minorHAnsi"/>
          <w:sz w:val="20"/>
          <w:szCs w:val="20"/>
        </w:rPr>
        <w:t>ων</w:t>
      </w:r>
      <w:r>
        <w:rPr>
          <w:rFonts w:cstheme="minorHAnsi"/>
          <w:sz w:val="20"/>
          <w:szCs w:val="20"/>
        </w:rPr>
        <w:t xml:space="preserve"> απόδοσης </w:t>
      </w:r>
      <w:r w:rsidRPr="008A0EDE">
        <w:rPr>
          <w:rFonts w:cstheme="minorHAnsi"/>
          <w:sz w:val="20"/>
          <w:szCs w:val="20"/>
        </w:rPr>
        <w:t>το</w:t>
      </w:r>
      <w:r>
        <w:rPr>
          <w:rFonts w:cstheme="minorHAnsi"/>
          <w:sz w:val="20"/>
          <w:szCs w:val="20"/>
        </w:rPr>
        <w:t>υ</w:t>
      </w:r>
      <w:r w:rsidRPr="008A0EDE">
        <w:rPr>
          <w:rFonts w:cstheme="minorHAnsi"/>
          <w:sz w:val="20"/>
          <w:szCs w:val="20"/>
        </w:rPr>
        <w:t xml:space="preserve"> ΕΤΜΕΑΡ</w:t>
      </w:r>
      <w:r w:rsidR="00A32647">
        <w:rPr>
          <w:rFonts w:cstheme="minorHAnsi"/>
          <w:sz w:val="20"/>
          <w:szCs w:val="20"/>
        </w:rPr>
        <w:t xml:space="preserve">, </w:t>
      </w:r>
      <w:r>
        <w:rPr>
          <w:rFonts w:cstheme="minorHAnsi"/>
          <w:sz w:val="20"/>
          <w:szCs w:val="20"/>
        </w:rPr>
        <w:t xml:space="preserve">που αποτελεί κόστος ρεύματος σύμφωνα και με την Απόφαση 3366/2015 της Ολομέλειας του ΣτΕ, </w:t>
      </w:r>
      <w:r w:rsidRPr="00A64164">
        <w:rPr>
          <w:rFonts w:cstheme="minorHAnsi"/>
          <w:b/>
          <w:bCs/>
          <w:sz w:val="20"/>
          <w:szCs w:val="20"/>
          <w:u w:val="single"/>
        </w:rPr>
        <w:t xml:space="preserve">ουδέποτε θεσπίστηκε μέχρι σήμερα αποτελεσματικός μηχανισμός εγγυήσεων που να διασφαλίζει την προσήκουσα </w:t>
      </w:r>
      <w:r w:rsidR="009E13B6">
        <w:rPr>
          <w:rFonts w:cstheme="minorHAnsi"/>
          <w:b/>
          <w:bCs/>
          <w:sz w:val="20"/>
          <w:szCs w:val="20"/>
          <w:u w:val="single"/>
        </w:rPr>
        <w:t xml:space="preserve">και ισόποση </w:t>
      </w:r>
      <w:r w:rsidRPr="00A64164">
        <w:rPr>
          <w:rFonts w:cstheme="minorHAnsi"/>
          <w:b/>
          <w:bCs/>
          <w:sz w:val="20"/>
          <w:szCs w:val="20"/>
          <w:u w:val="single"/>
        </w:rPr>
        <w:t>απόδοση του</w:t>
      </w:r>
      <w:r w:rsidR="009E13B6">
        <w:rPr>
          <w:rFonts w:cstheme="minorHAnsi"/>
          <w:b/>
          <w:bCs/>
          <w:sz w:val="20"/>
          <w:szCs w:val="20"/>
          <w:u w:val="single"/>
        </w:rPr>
        <w:t>, όπως λ.χ</w:t>
      </w:r>
      <w:r w:rsidRPr="00A64164">
        <w:rPr>
          <w:rFonts w:cstheme="minorHAnsi"/>
          <w:b/>
          <w:bCs/>
          <w:sz w:val="20"/>
          <w:szCs w:val="20"/>
          <w:u w:val="single"/>
        </w:rPr>
        <w:t>.</w:t>
      </w:r>
      <w:r w:rsidR="009E13B6">
        <w:rPr>
          <w:rFonts w:cstheme="minorHAnsi"/>
          <w:b/>
          <w:bCs/>
          <w:sz w:val="20"/>
          <w:szCs w:val="20"/>
          <w:u w:val="single"/>
        </w:rPr>
        <w:t xml:space="preserve"> ισχύει για τα εντός </w:t>
      </w:r>
      <w:r w:rsidRPr="00A64164">
        <w:rPr>
          <w:rFonts w:cstheme="minorHAnsi"/>
          <w:b/>
          <w:bCs/>
          <w:sz w:val="20"/>
          <w:szCs w:val="20"/>
          <w:u w:val="single"/>
        </w:rPr>
        <w:t xml:space="preserve">  </w:t>
      </w:r>
    </w:p>
    <w:p w14:paraId="6AC2646B" w14:textId="77777777" w:rsidR="00427173" w:rsidRPr="005269BD" w:rsidRDefault="00427173" w:rsidP="00427173">
      <w:pPr>
        <w:pStyle w:val="ListParagraph"/>
        <w:rPr>
          <w:rFonts w:cstheme="minorHAnsi"/>
          <w:sz w:val="20"/>
          <w:szCs w:val="20"/>
        </w:rPr>
      </w:pPr>
    </w:p>
    <w:p w14:paraId="3E9346D2" w14:textId="1DB69FB8" w:rsidR="00427173" w:rsidRPr="00C0748E" w:rsidRDefault="00427173" w:rsidP="00427173">
      <w:pPr>
        <w:pStyle w:val="ListParagraph"/>
        <w:numPr>
          <w:ilvl w:val="0"/>
          <w:numId w:val="45"/>
        </w:numPr>
        <w:spacing w:after="0" w:line="240" w:lineRule="auto"/>
        <w:ind w:left="426" w:hanging="284"/>
        <w:jc w:val="both"/>
        <w:rPr>
          <w:rFonts w:cstheme="minorHAnsi"/>
        </w:rPr>
      </w:pPr>
      <w:r w:rsidRPr="006B0389">
        <w:rPr>
          <w:rFonts w:cstheme="minorHAnsi"/>
          <w:b/>
          <w:bCs/>
          <w:sz w:val="20"/>
          <w:szCs w:val="20"/>
          <w:u w:val="single"/>
        </w:rPr>
        <w:t xml:space="preserve">Δυστυχώς με τους παραγωγούς </w:t>
      </w:r>
      <w:r>
        <w:rPr>
          <w:rFonts w:cstheme="minorHAnsi"/>
          <w:b/>
          <w:bCs/>
          <w:sz w:val="20"/>
          <w:szCs w:val="20"/>
          <w:u w:val="single"/>
        </w:rPr>
        <w:t xml:space="preserve">ΑΠΕ </w:t>
      </w:r>
      <w:r w:rsidRPr="006B0389">
        <w:rPr>
          <w:rFonts w:cstheme="minorHAnsi"/>
          <w:b/>
          <w:bCs/>
          <w:sz w:val="20"/>
          <w:szCs w:val="20"/>
          <w:u w:val="single"/>
        </w:rPr>
        <w:t xml:space="preserve">απλήρωτους σήμερα ακόμα και για </w:t>
      </w:r>
      <w:r>
        <w:rPr>
          <w:rFonts w:cstheme="minorHAnsi"/>
          <w:b/>
          <w:bCs/>
          <w:sz w:val="20"/>
          <w:szCs w:val="20"/>
          <w:u w:val="single"/>
        </w:rPr>
        <w:t>μέρος</w:t>
      </w:r>
      <w:r w:rsidRPr="006B0389">
        <w:rPr>
          <w:rFonts w:cstheme="minorHAnsi"/>
          <w:b/>
          <w:bCs/>
          <w:sz w:val="20"/>
          <w:szCs w:val="20"/>
          <w:u w:val="single"/>
        </w:rPr>
        <w:t xml:space="preserve"> της παραγωγής του </w:t>
      </w:r>
      <w:r>
        <w:rPr>
          <w:rFonts w:cstheme="minorHAnsi"/>
          <w:b/>
          <w:bCs/>
          <w:sz w:val="20"/>
          <w:szCs w:val="20"/>
          <w:u w:val="single"/>
        </w:rPr>
        <w:t xml:space="preserve">περασμένου </w:t>
      </w:r>
      <w:r w:rsidRPr="006B0389">
        <w:rPr>
          <w:rFonts w:cstheme="minorHAnsi"/>
          <w:b/>
          <w:bCs/>
          <w:sz w:val="20"/>
          <w:szCs w:val="20"/>
          <w:u w:val="single"/>
        </w:rPr>
        <w:t xml:space="preserve">Αυγούστου, ο ΔΑΠΕΕΠ και αλυσιτελώς ο ΕΛΑΠΕ υποχρεώνονται στην καταβολή όχι μόνο του εξοντωτικού και παράλογου κόστους εξισορρόπησης αλλά και επιπλέον </w:t>
      </w:r>
      <w:r>
        <w:rPr>
          <w:rFonts w:cstheme="minorHAnsi"/>
          <w:b/>
          <w:bCs/>
          <w:sz w:val="20"/>
          <w:szCs w:val="20"/>
          <w:u w:val="single"/>
        </w:rPr>
        <w:t xml:space="preserve">δεκάδων εκατομμυρίων ευρώ για </w:t>
      </w:r>
      <w:r w:rsidRPr="006B0389">
        <w:rPr>
          <w:rFonts w:cstheme="minorHAnsi"/>
          <w:b/>
          <w:bCs/>
          <w:sz w:val="20"/>
          <w:szCs w:val="20"/>
          <w:u w:val="single"/>
        </w:rPr>
        <w:t xml:space="preserve">την παροχή εγγυήσεων υπέρ του ΑΔΜΗΕ για την διασφάλιση και κάθε μελλοντικής </w:t>
      </w:r>
      <w:r>
        <w:rPr>
          <w:rFonts w:cstheme="minorHAnsi"/>
          <w:b/>
          <w:bCs/>
          <w:sz w:val="20"/>
          <w:szCs w:val="20"/>
          <w:u w:val="single"/>
        </w:rPr>
        <w:t xml:space="preserve">τέτοιας </w:t>
      </w:r>
      <w:r w:rsidRPr="006B0389">
        <w:rPr>
          <w:rFonts w:cstheme="minorHAnsi"/>
          <w:b/>
          <w:bCs/>
          <w:sz w:val="20"/>
          <w:szCs w:val="20"/>
          <w:u w:val="single"/>
        </w:rPr>
        <w:t xml:space="preserve">υπερκερδοφορίας </w:t>
      </w:r>
      <w:r>
        <w:rPr>
          <w:rFonts w:cstheme="minorHAnsi"/>
          <w:b/>
          <w:bCs/>
          <w:sz w:val="20"/>
          <w:szCs w:val="20"/>
          <w:u w:val="single"/>
        </w:rPr>
        <w:t xml:space="preserve">των μονάδων φυσικού αερίου </w:t>
      </w:r>
      <w:r w:rsidR="005011AF">
        <w:rPr>
          <w:rFonts w:cstheme="minorHAnsi"/>
          <w:b/>
          <w:bCs/>
          <w:sz w:val="20"/>
          <w:szCs w:val="20"/>
          <w:u w:val="single"/>
        </w:rPr>
        <w:t xml:space="preserve">που παρέχουν τις υπηρεσίες αυτές </w:t>
      </w:r>
      <w:r>
        <w:rPr>
          <w:rFonts w:cstheme="minorHAnsi"/>
          <w:b/>
          <w:bCs/>
          <w:sz w:val="20"/>
          <w:szCs w:val="20"/>
          <w:u w:val="single"/>
        </w:rPr>
        <w:t xml:space="preserve">στις </w:t>
      </w:r>
      <w:r w:rsidRPr="006B0389">
        <w:rPr>
          <w:rFonts w:cstheme="minorHAnsi"/>
          <w:b/>
          <w:bCs/>
          <w:sz w:val="20"/>
          <w:szCs w:val="20"/>
          <w:u w:val="single"/>
        </w:rPr>
        <w:t>αγορ</w:t>
      </w:r>
      <w:r>
        <w:rPr>
          <w:rFonts w:cstheme="minorHAnsi"/>
          <w:b/>
          <w:bCs/>
          <w:sz w:val="20"/>
          <w:szCs w:val="20"/>
          <w:u w:val="single"/>
        </w:rPr>
        <w:t>ές</w:t>
      </w:r>
      <w:r w:rsidRPr="006B0389">
        <w:rPr>
          <w:rFonts w:cstheme="minorHAnsi"/>
          <w:b/>
          <w:bCs/>
          <w:sz w:val="20"/>
          <w:szCs w:val="20"/>
          <w:u w:val="single"/>
        </w:rPr>
        <w:t xml:space="preserve"> εξισορρόπησης.</w:t>
      </w:r>
      <w:r>
        <w:rPr>
          <w:rFonts w:cstheme="minorHAnsi"/>
          <w:sz w:val="20"/>
          <w:szCs w:val="20"/>
        </w:rPr>
        <w:t xml:space="preserve">  Εν προκειμένω ο υφιστάμενος μηχανισμός εγγυήσεων οδηγεί τον ΕΛΑΠΕ στο να παρέχει στον ΑΔΜΗΕ για την εβδομαδιαία χρέωση του για εξισορρόπηση, εγγύηση</w:t>
      </w:r>
      <w:r w:rsidRPr="008A0EDE">
        <w:rPr>
          <w:rFonts w:cstheme="minorHAnsi"/>
          <w:sz w:val="20"/>
          <w:szCs w:val="20"/>
        </w:rPr>
        <w:t xml:space="preserve"> </w:t>
      </w:r>
      <w:r>
        <w:rPr>
          <w:rFonts w:cstheme="minorHAnsi"/>
          <w:sz w:val="20"/>
          <w:szCs w:val="20"/>
        </w:rPr>
        <w:t>12 εβδομάδων στο διπλάσιο της αξίας της εβδομαδιαίας εκκαθάρισης πλέον περιθωρίου 20%.  Σε συνέχεια λοιπόν και της αναίτιας εκτόξευσης του κόστους που καταγράφηκε στις αγορές εξισορρόπησης ιδίως την εβδομάδα 30/6-6/12</w:t>
      </w:r>
      <w:r w:rsidR="00265D21">
        <w:rPr>
          <w:rFonts w:cstheme="minorHAnsi"/>
          <w:sz w:val="20"/>
          <w:szCs w:val="20"/>
        </w:rPr>
        <w:t>,</w:t>
      </w:r>
      <w:r>
        <w:rPr>
          <w:rFonts w:cstheme="minorHAnsi"/>
          <w:sz w:val="20"/>
          <w:szCs w:val="20"/>
        </w:rPr>
        <w:t xml:space="preserve"> όπου το κόστος τους ανήλθε στο 80% του κόστους της ΑΕΗ</w:t>
      </w:r>
      <w:r w:rsidR="00C8341C">
        <w:rPr>
          <w:rFonts w:cstheme="minorHAnsi"/>
          <w:sz w:val="20"/>
          <w:szCs w:val="20"/>
        </w:rPr>
        <w:t xml:space="preserve"> ενώ σε όγκο η καθαρή πρόσθετη ενέργεια ήταν μόλις στο 2,4% της και οι αποκλίσεις του ΕΛΑΠΕ κατά το Β’ Σκέλος τους που αφορά </w:t>
      </w:r>
      <w:r w:rsidR="00265D21">
        <w:rPr>
          <w:rFonts w:cstheme="minorHAnsi"/>
          <w:sz w:val="20"/>
          <w:szCs w:val="20"/>
        </w:rPr>
        <w:t xml:space="preserve">κόστος από </w:t>
      </w:r>
      <w:r w:rsidR="00C8341C">
        <w:rPr>
          <w:rFonts w:cstheme="minorHAnsi"/>
          <w:sz w:val="20"/>
          <w:szCs w:val="20"/>
        </w:rPr>
        <w:t>ευθύνη εξισορρόπησης στα ~70 ευρώ/</w:t>
      </w:r>
      <w:r w:rsidR="00C8341C">
        <w:rPr>
          <w:rFonts w:cstheme="minorHAnsi"/>
          <w:sz w:val="20"/>
          <w:szCs w:val="20"/>
          <w:lang w:val="en-US"/>
        </w:rPr>
        <w:t>MWh</w:t>
      </w:r>
      <w:r>
        <w:rPr>
          <w:rFonts w:cstheme="minorHAnsi"/>
          <w:sz w:val="20"/>
          <w:szCs w:val="20"/>
        </w:rPr>
        <w:t>, παρακρατούνται από τον ΕΛΑΠΕ ζωτικά κονδύλια σε παράλογο ύψος και που θα χρειαστούν 12 εβδομάδες για να αποκλιμακωθούν και εφόσον δεν παρατηρηθεί εκ νέου κερδοσκοπία στις εν λόγω αγορές.</w:t>
      </w:r>
    </w:p>
    <w:p w14:paraId="3310B9FC" w14:textId="77777777" w:rsidR="00427173" w:rsidRPr="00C0748E" w:rsidRDefault="00427173" w:rsidP="00427173">
      <w:pPr>
        <w:pStyle w:val="ListParagraph"/>
        <w:rPr>
          <w:rFonts w:cstheme="minorHAnsi"/>
          <w:sz w:val="20"/>
          <w:szCs w:val="20"/>
        </w:rPr>
      </w:pPr>
    </w:p>
    <w:p w14:paraId="23BBCE44" w14:textId="1111C3F8" w:rsidR="00427173" w:rsidRPr="008A0EDE" w:rsidRDefault="00120AD6" w:rsidP="00427173">
      <w:pPr>
        <w:pStyle w:val="ListParagraph"/>
        <w:numPr>
          <w:ilvl w:val="0"/>
          <w:numId w:val="45"/>
        </w:numPr>
        <w:spacing w:after="0" w:line="240" w:lineRule="auto"/>
        <w:ind w:left="426" w:hanging="284"/>
        <w:jc w:val="both"/>
        <w:rPr>
          <w:rFonts w:cstheme="minorHAnsi"/>
        </w:rPr>
      </w:pPr>
      <w:r>
        <w:rPr>
          <w:rFonts w:cstheme="minorHAnsi"/>
          <w:b/>
          <w:bCs/>
          <w:sz w:val="20"/>
          <w:szCs w:val="20"/>
          <w:u w:val="single"/>
        </w:rPr>
        <w:lastRenderedPageBreak/>
        <w:t xml:space="preserve">Υπό την επιφύλαξη λοιπόν της μη ολοσχερούς απαλλαγής του χαρτοφυλακίου ΑΠΕ με ΣΠΗΕ και ΣΕΣΤ του ΔΑΠΕΕΠ από ευθύνη εξισορρόπησης </w:t>
      </w:r>
      <w:r w:rsidRPr="00427173">
        <w:rPr>
          <w:rFonts w:cstheme="minorHAnsi"/>
          <w:b/>
          <w:bCs/>
          <w:sz w:val="20"/>
          <w:szCs w:val="20"/>
          <w:u w:val="single"/>
        </w:rPr>
        <w:t>και που εκ του νόμου τα έργα αυτά δεν φέρουν υποχρεώσεις εξισορρόπησης</w:t>
      </w:r>
      <w:r>
        <w:rPr>
          <w:rFonts w:cstheme="minorHAnsi"/>
          <w:b/>
          <w:bCs/>
          <w:sz w:val="20"/>
          <w:szCs w:val="20"/>
          <w:u w:val="single"/>
        </w:rPr>
        <w:t>, ε</w:t>
      </w:r>
      <w:r w:rsidR="00427173" w:rsidRPr="00427173">
        <w:rPr>
          <w:rFonts w:cstheme="minorHAnsi"/>
          <w:b/>
          <w:bCs/>
          <w:sz w:val="20"/>
          <w:szCs w:val="20"/>
          <w:u w:val="single"/>
        </w:rPr>
        <w:t xml:space="preserve">ισηγούμαστε όπως ο ΔΑΠΕΕΠ για το χαρτοφυλάκιο </w:t>
      </w:r>
      <w:r>
        <w:rPr>
          <w:rFonts w:cstheme="minorHAnsi"/>
          <w:b/>
          <w:bCs/>
          <w:sz w:val="20"/>
          <w:szCs w:val="20"/>
          <w:u w:val="single"/>
        </w:rPr>
        <w:t xml:space="preserve">αυτό </w:t>
      </w:r>
      <w:r w:rsidR="00427173" w:rsidRPr="00427173">
        <w:rPr>
          <w:rFonts w:cstheme="minorHAnsi"/>
          <w:b/>
          <w:bCs/>
          <w:sz w:val="20"/>
          <w:szCs w:val="20"/>
          <w:u w:val="single"/>
        </w:rPr>
        <w:t xml:space="preserve"> απαλλαγεί ολοσχερώς από την υποχρέωση καταβολής εγγυήσεων προς τον ΑΔΜΗΕ για τις αγορές εξισορρόπησης.</w:t>
      </w:r>
      <w:r w:rsidR="00427173">
        <w:rPr>
          <w:rFonts w:cstheme="minorHAnsi"/>
          <w:sz w:val="20"/>
          <w:szCs w:val="20"/>
        </w:rPr>
        <w:t xml:space="preserve">  Ο ΔΑΠΕΕΠ μέσω των έργων αυτών όπως προελέχθη, είναι καθαρός τροφοδότης του συστήματος με ηλεκτρική ενέργεια, ενώ το ύψος των ροών του ΕΛΑΠΕ που εκ του νόμου διαχειρίζεται είναι τέτοιο που από μόνο του διασφαλίζει πως ο ΑΔΜΗΕ ως αντισυμβαλλόμενος του δεν </w:t>
      </w:r>
      <w:r w:rsidR="00C47BBB">
        <w:rPr>
          <w:rFonts w:cstheme="minorHAnsi"/>
          <w:sz w:val="20"/>
          <w:szCs w:val="20"/>
        </w:rPr>
        <w:t>νοείται</w:t>
      </w:r>
      <w:r w:rsidR="00427173">
        <w:rPr>
          <w:rFonts w:cstheme="minorHAnsi"/>
          <w:sz w:val="20"/>
          <w:szCs w:val="20"/>
        </w:rPr>
        <w:t xml:space="preserve"> να ζημιωθεί από αυτόν.  Τουναντίον ο ΔΑΠΕΕΠ, για όλα τα χρόνια μέχρι </w:t>
      </w:r>
      <w:r w:rsidR="001D23B9">
        <w:rPr>
          <w:rFonts w:cstheme="minorHAnsi"/>
          <w:sz w:val="20"/>
          <w:szCs w:val="20"/>
        </w:rPr>
        <w:t xml:space="preserve">να έρθει στα χέρια του </w:t>
      </w:r>
      <w:r w:rsidR="00427173">
        <w:rPr>
          <w:rFonts w:cstheme="minorHAnsi"/>
          <w:sz w:val="20"/>
          <w:szCs w:val="20"/>
        </w:rPr>
        <w:t xml:space="preserve">η ευθύνη είσπραξης του ΕΤΜΕΑΡ απευθείας από την Προμήθεια και να μην μεσολαβεί ο ΑΔΜΗΕ, υπέστη ανείπωτη ταλαιπωρία και υπερημερίες στους πόρους που δικαιούταν και του παρακρατούνταν.     </w:t>
      </w:r>
    </w:p>
    <w:p w14:paraId="7C9CEF22" w14:textId="2FA742A0" w:rsidR="00A25FE3" w:rsidRDefault="00A25FE3" w:rsidP="00A83906">
      <w:pPr>
        <w:spacing w:after="0" w:line="240" w:lineRule="auto"/>
        <w:jc w:val="both"/>
        <w:rPr>
          <w:rFonts w:cstheme="minorHAnsi"/>
          <w:sz w:val="20"/>
          <w:szCs w:val="20"/>
        </w:rPr>
      </w:pPr>
    </w:p>
    <w:p w14:paraId="3EB3C413" w14:textId="77777777" w:rsidR="00427173" w:rsidRDefault="00427173" w:rsidP="00A83906">
      <w:pPr>
        <w:spacing w:after="0" w:line="240" w:lineRule="auto"/>
        <w:jc w:val="both"/>
        <w:rPr>
          <w:rFonts w:cstheme="minorHAnsi"/>
          <w:sz w:val="20"/>
          <w:szCs w:val="20"/>
        </w:rPr>
      </w:pPr>
    </w:p>
    <w:p w14:paraId="103622E9" w14:textId="69F4AAF9" w:rsidR="00BB5A1B" w:rsidRPr="00C33AB9" w:rsidRDefault="00482097" w:rsidP="00BB5A1B">
      <w:pPr>
        <w:shd w:val="clear" w:color="auto" w:fill="FFFFFF"/>
        <w:spacing w:after="0" w:line="240" w:lineRule="auto"/>
        <w:ind w:left="284" w:hanging="284"/>
        <w:jc w:val="both"/>
        <w:rPr>
          <w:rFonts w:eastAsia="Times New Roman" w:cstheme="minorHAnsi"/>
          <w:b/>
          <w:bCs/>
          <w:color w:val="222222"/>
          <w:sz w:val="20"/>
          <w:szCs w:val="20"/>
          <w:u w:val="single"/>
          <w:lang w:eastAsia="el-GR"/>
        </w:rPr>
      </w:pPr>
      <w:r>
        <w:rPr>
          <w:rFonts w:eastAsia="Times New Roman" w:cstheme="minorHAnsi"/>
          <w:b/>
          <w:bCs/>
          <w:color w:val="222222"/>
          <w:sz w:val="20"/>
          <w:szCs w:val="20"/>
          <w:u w:val="single"/>
          <w:lang w:eastAsia="el-GR"/>
        </w:rPr>
        <w:t>Ζ</w:t>
      </w:r>
      <w:r w:rsidR="00BB5A1B">
        <w:rPr>
          <w:rFonts w:eastAsia="Times New Roman" w:cstheme="minorHAnsi"/>
          <w:b/>
          <w:bCs/>
          <w:color w:val="222222"/>
          <w:sz w:val="20"/>
          <w:szCs w:val="20"/>
          <w:u w:val="single"/>
          <w:lang w:eastAsia="el-GR"/>
        </w:rPr>
        <w:t xml:space="preserve">. </w:t>
      </w:r>
      <w:r w:rsidR="00120AD6">
        <w:rPr>
          <w:rFonts w:eastAsia="Times New Roman" w:cstheme="minorHAnsi"/>
          <w:b/>
          <w:bCs/>
          <w:color w:val="222222"/>
          <w:sz w:val="20"/>
          <w:szCs w:val="20"/>
          <w:u w:val="single"/>
          <w:lang w:eastAsia="el-GR"/>
        </w:rPr>
        <w:t xml:space="preserve">   </w:t>
      </w:r>
      <w:r w:rsidR="00910CF9">
        <w:rPr>
          <w:rFonts w:eastAsia="Times New Roman" w:cstheme="minorHAnsi"/>
          <w:b/>
          <w:bCs/>
          <w:color w:val="222222"/>
          <w:sz w:val="20"/>
          <w:szCs w:val="20"/>
          <w:u w:val="single"/>
          <w:lang w:eastAsia="el-GR"/>
        </w:rPr>
        <w:t>Π</w:t>
      </w:r>
      <w:r w:rsidR="00BB5A1B">
        <w:rPr>
          <w:rFonts w:eastAsia="Times New Roman" w:cstheme="minorHAnsi"/>
          <w:b/>
          <w:bCs/>
          <w:color w:val="222222"/>
          <w:sz w:val="20"/>
          <w:szCs w:val="20"/>
          <w:u w:val="single"/>
          <w:lang w:eastAsia="el-GR"/>
        </w:rPr>
        <w:t>ρόταση για εβδομαδιαία δημοσίευση και μοναδιαίας ευθύνης εξισορρόπησης</w:t>
      </w:r>
      <w:r w:rsidR="00910CF9">
        <w:rPr>
          <w:rFonts w:eastAsia="Times New Roman" w:cstheme="minorHAnsi"/>
          <w:b/>
          <w:bCs/>
          <w:color w:val="222222"/>
          <w:sz w:val="20"/>
          <w:szCs w:val="20"/>
          <w:u w:val="single"/>
          <w:lang w:eastAsia="el-GR"/>
        </w:rPr>
        <w:t xml:space="preserve"> που επιβαρύνει τον ΕΛΑΠΕ</w:t>
      </w:r>
      <w:r w:rsidR="00BB5A1B">
        <w:rPr>
          <w:rFonts w:eastAsia="Times New Roman" w:cstheme="minorHAnsi"/>
          <w:b/>
          <w:bCs/>
          <w:color w:val="222222"/>
          <w:sz w:val="20"/>
          <w:szCs w:val="20"/>
          <w:u w:val="single"/>
          <w:lang w:eastAsia="el-GR"/>
        </w:rPr>
        <w:t xml:space="preserve">   </w:t>
      </w:r>
    </w:p>
    <w:p w14:paraId="07E5F414" w14:textId="77777777" w:rsidR="00BB5A1B" w:rsidRDefault="00BB5A1B" w:rsidP="00BB5A1B">
      <w:pPr>
        <w:shd w:val="clear" w:color="auto" w:fill="FFFFFF"/>
        <w:spacing w:after="0" w:line="240" w:lineRule="auto"/>
        <w:jc w:val="both"/>
        <w:rPr>
          <w:rFonts w:eastAsia="Times New Roman" w:cstheme="minorHAnsi"/>
          <w:color w:val="222222"/>
          <w:sz w:val="20"/>
          <w:szCs w:val="20"/>
          <w:lang w:eastAsia="el-GR"/>
        </w:rPr>
      </w:pPr>
    </w:p>
    <w:p w14:paraId="72C34FBB" w14:textId="1665BEE9" w:rsidR="00BB5A1B" w:rsidRPr="00C775FE" w:rsidRDefault="00B351A2" w:rsidP="00F12F70">
      <w:pPr>
        <w:pStyle w:val="ListParagraph"/>
        <w:numPr>
          <w:ilvl w:val="0"/>
          <w:numId w:val="46"/>
        </w:numPr>
        <w:spacing w:after="0" w:line="240" w:lineRule="auto"/>
        <w:ind w:left="426" w:hanging="284"/>
        <w:jc w:val="both"/>
        <w:rPr>
          <w:rFonts w:cstheme="minorHAnsi"/>
          <w:sz w:val="20"/>
          <w:szCs w:val="20"/>
        </w:rPr>
      </w:pPr>
      <w:r>
        <w:rPr>
          <w:sz w:val="20"/>
          <w:szCs w:val="20"/>
        </w:rPr>
        <w:t>Όπως προαναφέρθηκε τ</w:t>
      </w:r>
      <w:r w:rsidR="00BB5A1B" w:rsidRPr="00F12F70">
        <w:rPr>
          <w:sz w:val="20"/>
          <w:szCs w:val="20"/>
        </w:rPr>
        <w:t xml:space="preserve">ο κόστος εξισορρόπησης για τις ΑΠΕ </w:t>
      </w:r>
      <w:r w:rsidR="00F12F70">
        <w:rPr>
          <w:sz w:val="20"/>
          <w:szCs w:val="20"/>
        </w:rPr>
        <w:t xml:space="preserve">που υφίσταται ο ΕΛΑΠΕ </w:t>
      </w:r>
      <w:r w:rsidR="00BB5A1B" w:rsidRPr="00F12F70">
        <w:rPr>
          <w:sz w:val="20"/>
          <w:szCs w:val="20"/>
        </w:rPr>
        <w:t>δεν πρέπει να συγχέεται εσφαλμένα με τις συνολικές αποκλίσεις</w:t>
      </w:r>
      <w:r w:rsidR="00734B81">
        <w:rPr>
          <w:sz w:val="20"/>
          <w:szCs w:val="20"/>
        </w:rPr>
        <w:t>.  Τ</w:t>
      </w:r>
      <w:r w:rsidR="00F12F70">
        <w:rPr>
          <w:sz w:val="20"/>
          <w:szCs w:val="20"/>
        </w:rPr>
        <w:t>ο</w:t>
      </w:r>
      <w:r w:rsidR="00BB5A1B" w:rsidRPr="00F12F70">
        <w:rPr>
          <w:sz w:val="20"/>
          <w:szCs w:val="20"/>
        </w:rPr>
        <w:t xml:space="preserve"> κόστος εξισορρόπησης </w:t>
      </w:r>
      <w:r w:rsidR="00F12F70">
        <w:rPr>
          <w:sz w:val="20"/>
          <w:szCs w:val="20"/>
        </w:rPr>
        <w:t>αφορά</w:t>
      </w:r>
      <w:r w:rsidR="00BB5A1B" w:rsidRPr="00F12F70">
        <w:rPr>
          <w:sz w:val="20"/>
          <w:szCs w:val="20"/>
        </w:rPr>
        <w:t xml:space="preserve"> </w:t>
      </w:r>
      <w:r w:rsidR="00C775FE">
        <w:rPr>
          <w:sz w:val="20"/>
          <w:szCs w:val="20"/>
        </w:rPr>
        <w:t>μόνο σ</w:t>
      </w:r>
      <w:r w:rsidR="00BB5A1B" w:rsidRPr="00F12F70">
        <w:rPr>
          <w:sz w:val="20"/>
          <w:szCs w:val="20"/>
        </w:rPr>
        <w:t>το γινόμενο της διαφοράς μεταξύ της εγχυθείσας ενέργειας από το υποβληθέν πρόγραμμα παραγωγής όπως διαμορφώθηκε στην Αγορά Επόμενης</w:t>
      </w:r>
      <w:r w:rsidR="00C775FE">
        <w:rPr>
          <w:sz w:val="20"/>
          <w:szCs w:val="20"/>
        </w:rPr>
        <w:t xml:space="preserve"> Ημέρας (ΑΕΗ) </w:t>
      </w:r>
      <w:r w:rsidR="00C775FE" w:rsidRPr="007C6B0E">
        <w:rPr>
          <w:sz w:val="20"/>
          <w:szCs w:val="20"/>
        </w:rPr>
        <w:t>και τις Τοπικές Ενδοημερήσιες Αγορές (ΤΕΔ), επί την διαφορά της τιμής Αποκλίσεων (που υπολογίζεται από την Αγορά Εξισορρόπησης) από την Τιμή Εκκαθάρισης της Προημερήσιας αγοράς όπως μεσοσταθμικά διαμορφώθηκε μέσω και των ΤΕΔ.</w:t>
      </w:r>
    </w:p>
    <w:p w14:paraId="4A590141" w14:textId="77777777" w:rsidR="00C775FE" w:rsidRPr="00C775FE" w:rsidRDefault="00C775FE" w:rsidP="00C775FE">
      <w:pPr>
        <w:pStyle w:val="ListParagraph"/>
        <w:spacing w:after="0" w:line="240" w:lineRule="auto"/>
        <w:ind w:left="426"/>
        <w:jc w:val="both"/>
        <w:rPr>
          <w:rFonts w:cstheme="minorHAnsi"/>
          <w:sz w:val="20"/>
          <w:szCs w:val="20"/>
        </w:rPr>
      </w:pPr>
    </w:p>
    <w:p w14:paraId="768B6A13" w14:textId="6A861FC4" w:rsidR="00C775FE" w:rsidRPr="00C775FE" w:rsidRDefault="00C775FE" w:rsidP="00F12F70">
      <w:pPr>
        <w:pStyle w:val="ListParagraph"/>
        <w:numPr>
          <w:ilvl w:val="0"/>
          <w:numId w:val="46"/>
        </w:numPr>
        <w:spacing w:after="0" w:line="240" w:lineRule="auto"/>
        <w:ind w:left="426" w:hanging="284"/>
        <w:jc w:val="both"/>
        <w:rPr>
          <w:rFonts w:cstheme="minorHAnsi"/>
          <w:sz w:val="20"/>
          <w:szCs w:val="20"/>
        </w:rPr>
      </w:pPr>
      <w:r>
        <w:rPr>
          <w:sz w:val="20"/>
          <w:szCs w:val="20"/>
        </w:rPr>
        <w:t xml:space="preserve">Αυτό λοιπόν το κόστος που αφορά στην ευθύνη εξισορρόπησης του χαρτοφυλακίου ΑΠΕ με ΣΠΗΕ και ΣΕΣΤ που διαχειρίζεται ο ΔΑΠΕΕΠ και που κατά τα άλλα τα έργα αυτά βάσει του νόμου δεν φέρουν υποχρεώσεις εξισορρόπησης, επιβαρύνει παραδόξως τον ΕΛΑΠΕ. Το κόστος αυτό εκκαθαρίζεται από τον ΑΔΜΗΕ ανά εβδομάδα.  Διαιρούμενο με την καθαρή ποσότητα ενέργειας που διοχέτευσε από το χαρτοφυλάκιο έργων αυτό ο ΔΑΠΕΕΠ στην αγορά, </w:t>
      </w:r>
      <w:r w:rsidRPr="00734B81">
        <w:rPr>
          <w:b/>
          <w:bCs/>
          <w:sz w:val="20"/>
          <w:szCs w:val="20"/>
          <w:u w:val="single"/>
        </w:rPr>
        <w:t xml:space="preserve">είναι εξαιρετικά χρήσιμο το προκύπτον μοναδιαίο κόστος εξισορρόπησης ανά </w:t>
      </w:r>
      <w:r w:rsidRPr="00734B81">
        <w:rPr>
          <w:b/>
          <w:bCs/>
          <w:sz w:val="20"/>
          <w:szCs w:val="20"/>
          <w:u w:val="single"/>
          <w:lang w:val="en-US"/>
        </w:rPr>
        <w:t>MWh</w:t>
      </w:r>
      <w:r w:rsidRPr="00734B81">
        <w:rPr>
          <w:b/>
          <w:bCs/>
          <w:sz w:val="20"/>
          <w:szCs w:val="20"/>
          <w:u w:val="single"/>
        </w:rPr>
        <w:t xml:space="preserve"> </w:t>
      </w:r>
      <w:r w:rsidR="00734B81">
        <w:rPr>
          <w:b/>
          <w:bCs/>
          <w:sz w:val="20"/>
          <w:szCs w:val="20"/>
          <w:u w:val="single"/>
        </w:rPr>
        <w:t xml:space="preserve">για τον ΕΛΑΠΕ </w:t>
      </w:r>
      <w:r w:rsidRPr="00734B81">
        <w:rPr>
          <w:b/>
          <w:bCs/>
          <w:sz w:val="20"/>
          <w:szCs w:val="20"/>
          <w:u w:val="single"/>
        </w:rPr>
        <w:t>να δημοσιεύεται ανά εβδομάδα στην ιστοσελίδα του ΔΑΠΕΕΠ.</w:t>
      </w:r>
    </w:p>
    <w:p w14:paraId="5D714FA4" w14:textId="77777777" w:rsidR="00C775FE" w:rsidRPr="00C775FE" w:rsidRDefault="00C775FE" w:rsidP="00C775FE">
      <w:pPr>
        <w:pStyle w:val="ListParagraph"/>
        <w:rPr>
          <w:sz w:val="20"/>
          <w:szCs w:val="20"/>
        </w:rPr>
      </w:pPr>
    </w:p>
    <w:p w14:paraId="20038F07" w14:textId="7A7A68EE" w:rsidR="00D708B9" w:rsidRPr="00D708B9" w:rsidRDefault="00B351A2" w:rsidP="00F12F70">
      <w:pPr>
        <w:pStyle w:val="ListParagraph"/>
        <w:numPr>
          <w:ilvl w:val="0"/>
          <w:numId w:val="46"/>
        </w:numPr>
        <w:spacing w:after="0" w:line="240" w:lineRule="auto"/>
        <w:ind w:left="426" w:hanging="284"/>
        <w:jc w:val="both"/>
        <w:rPr>
          <w:rFonts w:cstheme="minorHAnsi"/>
          <w:sz w:val="20"/>
          <w:szCs w:val="20"/>
        </w:rPr>
      </w:pPr>
      <w:r w:rsidRPr="00B351A2">
        <w:rPr>
          <w:rFonts w:cstheme="minorHAnsi"/>
          <w:b/>
          <w:bCs/>
          <w:sz w:val="20"/>
          <w:szCs w:val="20"/>
          <w:u w:val="single"/>
        </w:rPr>
        <w:t>Υπό την επιφύλαξη λοιπόν της μη ολοσχερούς απαλλαγής του χαρτοφυλακίου ΑΠΕ με ΣΠΗΕ και ΣΕΣΤ του ΔΑΠΕΕΠ από ευθύνη εξισορρόπησης και που εκ του νόμου τα έργα αυτά δεν φέρουν υποχρεώσεις εξισορρόπησης, ε</w:t>
      </w:r>
      <w:r w:rsidR="00C775FE" w:rsidRPr="00B351A2">
        <w:rPr>
          <w:b/>
          <w:bCs/>
          <w:sz w:val="20"/>
          <w:szCs w:val="20"/>
          <w:u w:val="single"/>
        </w:rPr>
        <w:t xml:space="preserve">ισηγούμαστε όπως ο ΔΑΠΕΕΠ δημοσιεύει στο εξής κάθε εβδομάδα στην ιστοσελίδα του το μοναδιαίο κόστος </w:t>
      </w:r>
      <w:r>
        <w:rPr>
          <w:b/>
          <w:bCs/>
          <w:sz w:val="20"/>
          <w:szCs w:val="20"/>
          <w:u w:val="single"/>
        </w:rPr>
        <w:t>σε ευρώ/</w:t>
      </w:r>
      <w:r>
        <w:rPr>
          <w:b/>
          <w:bCs/>
          <w:sz w:val="20"/>
          <w:szCs w:val="20"/>
          <w:u w:val="single"/>
          <w:lang w:val="en-US"/>
        </w:rPr>
        <w:t>MWh</w:t>
      </w:r>
      <w:r w:rsidRPr="00B351A2">
        <w:rPr>
          <w:b/>
          <w:bCs/>
          <w:sz w:val="20"/>
          <w:szCs w:val="20"/>
          <w:u w:val="single"/>
        </w:rPr>
        <w:t xml:space="preserve"> </w:t>
      </w:r>
      <w:r w:rsidR="00C775FE" w:rsidRPr="00B351A2">
        <w:rPr>
          <w:b/>
          <w:bCs/>
          <w:sz w:val="20"/>
          <w:szCs w:val="20"/>
          <w:u w:val="single"/>
        </w:rPr>
        <w:t>που χρεώνεται ο ΕΛΑΠΕ για την εξισορρόπηση του χαρτοφυλακίου ΑΠΕ με ΣΠΗΕ και ΣΕΣΤ που διαχειρίζεται.</w:t>
      </w:r>
      <w:r w:rsidR="00C775FE">
        <w:rPr>
          <w:sz w:val="20"/>
          <w:szCs w:val="20"/>
        </w:rPr>
        <w:t xml:space="preserve">  Τοιουτοτρόπως </w:t>
      </w:r>
      <w:r>
        <w:rPr>
          <w:sz w:val="20"/>
          <w:szCs w:val="20"/>
        </w:rPr>
        <w:t xml:space="preserve">θα υπάρχει αφενός αντικειμενικός δείκτης της ευστοχίας των προβλέψεων για το χαρτοφυλάκιο ανά εβδομάδα, αφετέρου η δυνατότητα από τον καθένα να αντιληφθεί αν </w:t>
      </w:r>
      <w:r w:rsidR="00C775FE">
        <w:rPr>
          <w:sz w:val="20"/>
          <w:szCs w:val="20"/>
        </w:rPr>
        <w:t xml:space="preserve">ο ΕΛΑΠΕ βαίνει </w:t>
      </w:r>
      <w:r>
        <w:rPr>
          <w:sz w:val="20"/>
          <w:szCs w:val="20"/>
        </w:rPr>
        <w:t xml:space="preserve">οικονομικά </w:t>
      </w:r>
      <w:r w:rsidR="00C775FE">
        <w:rPr>
          <w:sz w:val="20"/>
          <w:szCs w:val="20"/>
        </w:rPr>
        <w:t>βιώσιμος σχετικά με το κόστος αυτό</w:t>
      </w:r>
      <w:r w:rsidR="00D708B9">
        <w:rPr>
          <w:sz w:val="20"/>
          <w:szCs w:val="20"/>
        </w:rPr>
        <w:t xml:space="preserve">, αλλά και τι μπορεί </w:t>
      </w:r>
      <w:r>
        <w:rPr>
          <w:sz w:val="20"/>
          <w:szCs w:val="20"/>
        </w:rPr>
        <w:t xml:space="preserve">επιπλέον </w:t>
      </w:r>
      <w:r w:rsidR="00D708B9">
        <w:rPr>
          <w:sz w:val="20"/>
          <w:szCs w:val="20"/>
        </w:rPr>
        <w:t xml:space="preserve">να προσδοκά </w:t>
      </w:r>
      <w:r>
        <w:rPr>
          <w:sz w:val="20"/>
          <w:szCs w:val="20"/>
        </w:rPr>
        <w:t>ένας</w:t>
      </w:r>
      <w:r w:rsidR="00D708B9">
        <w:rPr>
          <w:sz w:val="20"/>
          <w:szCs w:val="20"/>
        </w:rPr>
        <w:t xml:space="preserve"> παραγωγός </w:t>
      </w:r>
      <w:r>
        <w:rPr>
          <w:sz w:val="20"/>
          <w:szCs w:val="20"/>
        </w:rPr>
        <w:t xml:space="preserve">ΑΠΕ </w:t>
      </w:r>
      <w:r w:rsidR="00D708B9">
        <w:rPr>
          <w:sz w:val="20"/>
          <w:szCs w:val="20"/>
        </w:rPr>
        <w:t xml:space="preserve">με ΣΕΔΠ εκτός ΔΑΠΕΕΠ ότι </w:t>
      </w:r>
      <w:r>
        <w:rPr>
          <w:sz w:val="20"/>
          <w:szCs w:val="20"/>
        </w:rPr>
        <w:t xml:space="preserve">περίπου </w:t>
      </w:r>
      <w:r w:rsidR="00D708B9">
        <w:rPr>
          <w:sz w:val="20"/>
          <w:szCs w:val="20"/>
        </w:rPr>
        <w:t xml:space="preserve">θα πληρώνει για εξισορρόπηση όταν εκπνεύσει ο </w:t>
      </w:r>
      <w:r w:rsidR="00810BC9">
        <w:rPr>
          <w:sz w:val="20"/>
          <w:szCs w:val="20"/>
        </w:rPr>
        <w:t>Μ</w:t>
      </w:r>
      <w:r w:rsidR="00D708B9">
        <w:rPr>
          <w:sz w:val="20"/>
          <w:szCs w:val="20"/>
        </w:rPr>
        <w:t xml:space="preserve">ΜΒΑΠ. </w:t>
      </w:r>
    </w:p>
    <w:p w14:paraId="4392C1EE" w14:textId="77777777" w:rsidR="00D708B9" w:rsidRPr="00D708B9" w:rsidRDefault="00D708B9" w:rsidP="00D708B9">
      <w:pPr>
        <w:pStyle w:val="ListParagraph"/>
        <w:rPr>
          <w:sz w:val="20"/>
          <w:szCs w:val="20"/>
        </w:rPr>
      </w:pPr>
    </w:p>
    <w:p w14:paraId="51615EAC" w14:textId="34548AAF" w:rsidR="00C775FE" w:rsidRPr="00F12F70" w:rsidRDefault="003F2160" w:rsidP="00F12F70">
      <w:pPr>
        <w:pStyle w:val="ListParagraph"/>
        <w:numPr>
          <w:ilvl w:val="0"/>
          <w:numId w:val="46"/>
        </w:numPr>
        <w:spacing w:after="0" w:line="240" w:lineRule="auto"/>
        <w:ind w:left="426" w:hanging="284"/>
        <w:jc w:val="both"/>
        <w:rPr>
          <w:rFonts w:cstheme="minorHAnsi"/>
          <w:sz w:val="20"/>
          <w:szCs w:val="20"/>
        </w:rPr>
      </w:pPr>
      <w:r>
        <w:rPr>
          <w:sz w:val="20"/>
          <w:szCs w:val="20"/>
        </w:rPr>
        <w:t>Ας</w:t>
      </w:r>
      <w:r w:rsidR="00D708B9">
        <w:rPr>
          <w:sz w:val="20"/>
          <w:szCs w:val="20"/>
        </w:rPr>
        <w:t xml:space="preserve"> υπογραμμίσουμε πως </w:t>
      </w:r>
      <w:r>
        <w:rPr>
          <w:sz w:val="20"/>
          <w:szCs w:val="20"/>
        </w:rPr>
        <w:t>σύμφωνα με τους υπολογισμούς μας</w:t>
      </w:r>
      <w:r w:rsidR="00734B81">
        <w:rPr>
          <w:sz w:val="20"/>
          <w:szCs w:val="20"/>
        </w:rPr>
        <w:t>,</w:t>
      </w:r>
      <w:r>
        <w:rPr>
          <w:sz w:val="20"/>
          <w:szCs w:val="20"/>
        </w:rPr>
        <w:t xml:space="preserve"> </w:t>
      </w:r>
      <w:r w:rsidR="00D708B9">
        <w:rPr>
          <w:sz w:val="20"/>
          <w:szCs w:val="20"/>
        </w:rPr>
        <w:t xml:space="preserve">το μεσοσταθμικό μέχρι σήμερα κόστος για </w:t>
      </w:r>
      <w:r w:rsidR="00401D86">
        <w:rPr>
          <w:sz w:val="20"/>
          <w:szCs w:val="20"/>
        </w:rPr>
        <w:t xml:space="preserve">ευθύνη </w:t>
      </w:r>
      <w:r w:rsidR="00D708B9">
        <w:rPr>
          <w:sz w:val="20"/>
          <w:szCs w:val="20"/>
        </w:rPr>
        <w:t>εξισορρόπηση</w:t>
      </w:r>
      <w:r w:rsidR="00401D86">
        <w:rPr>
          <w:sz w:val="20"/>
          <w:szCs w:val="20"/>
        </w:rPr>
        <w:t>ς</w:t>
      </w:r>
      <w:r w:rsidR="00D708B9">
        <w:rPr>
          <w:sz w:val="20"/>
          <w:szCs w:val="20"/>
        </w:rPr>
        <w:t xml:space="preserve"> που υφίσταται ο ΔΑΠΕΕΠ </w:t>
      </w:r>
      <w:r>
        <w:rPr>
          <w:sz w:val="20"/>
          <w:szCs w:val="20"/>
        </w:rPr>
        <w:t xml:space="preserve">(και που στην ανάλυση μας το ονομάσαμε Β’ Σκέλος Αποκλίσεων) </w:t>
      </w:r>
      <w:r w:rsidR="00D708B9">
        <w:rPr>
          <w:sz w:val="20"/>
          <w:szCs w:val="20"/>
        </w:rPr>
        <w:t>για το χαρτοφυλάκιο ΑΠΕ με ΣΠΗ</w:t>
      </w:r>
      <w:r>
        <w:rPr>
          <w:sz w:val="20"/>
          <w:szCs w:val="20"/>
        </w:rPr>
        <w:t>Ε</w:t>
      </w:r>
      <w:r w:rsidR="00D708B9">
        <w:rPr>
          <w:sz w:val="20"/>
          <w:szCs w:val="20"/>
        </w:rPr>
        <w:t xml:space="preserve"> και ΣΕΣΤ </w:t>
      </w:r>
      <w:r>
        <w:rPr>
          <w:sz w:val="20"/>
          <w:szCs w:val="20"/>
        </w:rPr>
        <w:t xml:space="preserve">που εκπροσωπεί για το διάστημα </w:t>
      </w:r>
      <w:r w:rsidR="00D708B9">
        <w:rPr>
          <w:sz w:val="20"/>
          <w:szCs w:val="20"/>
        </w:rPr>
        <w:t>από 1/11-</w:t>
      </w:r>
      <w:r w:rsidR="00D708B9" w:rsidRPr="00D708B9">
        <w:rPr>
          <w:sz w:val="20"/>
          <w:szCs w:val="20"/>
        </w:rPr>
        <w:t>13</w:t>
      </w:r>
      <w:r w:rsidR="00D708B9">
        <w:rPr>
          <w:sz w:val="20"/>
          <w:szCs w:val="20"/>
        </w:rPr>
        <w:t>/12/20, είναι ~12 ευρώ/</w:t>
      </w:r>
      <w:r w:rsidR="00D708B9">
        <w:rPr>
          <w:sz w:val="20"/>
          <w:szCs w:val="20"/>
          <w:lang w:val="en-US"/>
        </w:rPr>
        <w:t>MWh</w:t>
      </w:r>
      <w:r w:rsidR="00D708B9" w:rsidRPr="00D708B9">
        <w:rPr>
          <w:sz w:val="20"/>
          <w:szCs w:val="20"/>
        </w:rPr>
        <w:t xml:space="preserve">.  </w:t>
      </w:r>
      <w:r w:rsidR="00D708B9" w:rsidRPr="00734B81">
        <w:rPr>
          <w:b/>
          <w:bCs/>
          <w:sz w:val="20"/>
          <w:szCs w:val="20"/>
          <w:u w:val="single"/>
        </w:rPr>
        <w:t xml:space="preserve">Δηλαδή για ένα έργο με ΣΕΔΠ και ΤΑ </w:t>
      </w:r>
      <w:r w:rsidR="00B351A2" w:rsidRPr="00734B81">
        <w:rPr>
          <w:b/>
          <w:bCs/>
          <w:sz w:val="20"/>
          <w:szCs w:val="20"/>
          <w:u w:val="single"/>
        </w:rPr>
        <w:t xml:space="preserve">λ.χ. </w:t>
      </w:r>
      <w:r w:rsidR="00D708B9" w:rsidRPr="00734B81">
        <w:rPr>
          <w:b/>
          <w:bCs/>
          <w:sz w:val="20"/>
          <w:szCs w:val="20"/>
          <w:u w:val="single"/>
        </w:rPr>
        <w:t>στα 50 ευρώ/</w:t>
      </w:r>
      <w:r w:rsidR="00D708B9" w:rsidRPr="00734B81">
        <w:rPr>
          <w:b/>
          <w:bCs/>
          <w:sz w:val="20"/>
          <w:szCs w:val="20"/>
          <w:u w:val="single"/>
          <w:lang w:val="en-US"/>
        </w:rPr>
        <w:t>MWh</w:t>
      </w:r>
      <w:r w:rsidR="00D708B9" w:rsidRPr="00734B81">
        <w:rPr>
          <w:b/>
          <w:bCs/>
          <w:sz w:val="20"/>
          <w:szCs w:val="20"/>
          <w:u w:val="single"/>
        </w:rPr>
        <w:t xml:space="preserve"> το κόστος εξισορρόπησης είναι στο </w:t>
      </w:r>
      <w:r w:rsidR="0092772E">
        <w:rPr>
          <w:b/>
          <w:bCs/>
          <w:sz w:val="20"/>
          <w:szCs w:val="20"/>
          <w:u w:val="single"/>
        </w:rPr>
        <w:t xml:space="preserve">απαγορευτικό επίπεδο του </w:t>
      </w:r>
      <w:r w:rsidR="00D708B9" w:rsidRPr="00734B81">
        <w:rPr>
          <w:b/>
          <w:bCs/>
          <w:sz w:val="20"/>
          <w:szCs w:val="20"/>
          <w:u w:val="single"/>
        </w:rPr>
        <w:t>24% χωρίς σε αυτό να περιλαμβάνεται η αμοιβή του φορέα εκπροσώπησης.</w:t>
      </w:r>
      <w:r w:rsidR="00D708B9">
        <w:rPr>
          <w:sz w:val="20"/>
          <w:szCs w:val="20"/>
        </w:rPr>
        <w:t xml:space="preserve">      </w:t>
      </w:r>
      <w:r w:rsidR="00C775FE">
        <w:rPr>
          <w:sz w:val="20"/>
          <w:szCs w:val="20"/>
        </w:rPr>
        <w:t xml:space="preserve">         </w:t>
      </w:r>
    </w:p>
    <w:p w14:paraId="4C24D57F" w14:textId="3C1F55C9" w:rsidR="00BB5A1B" w:rsidRDefault="00BB5A1B" w:rsidP="00A83906">
      <w:pPr>
        <w:spacing w:after="0" w:line="240" w:lineRule="auto"/>
        <w:jc w:val="both"/>
        <w:rPr>
          <w:rFonts w:cstheme="minorHAnsi"/>
          <w:sz w:val="20"/>
          <w:szCs w:val="20"/>
        </w:rPr>
      </w:pPr>
    </w:p>
    <w:p w14:paraId="192AC209" w14:textId="7202A3B4" w:rsidR="00BB5A1B" w:rsidRDefault="00395812" w:rsidP="00A83906">
      <w:pPr>
        <w:spacing w:after="0" w:line="240" w:lineRule="auto"/>
        <w:jc w:val="both"/>
        <w:rPr>
          <w:rFonts w:cstheme="minorHAnsi"/>
          <w:sz w:val="20"/>
          <w:szCs w:val="20"/>
        </w:rPr>
      </w:pPr>
      <w:r>
        <w:rPr>
          <w:rFonts w:cstheme="minorHAnsi"/>
          <w:sz w:val="20"/>
          <w:szCs w:val="20"/>
        </w:rPr>
        <w:t xml:space="preserve">Στην διάθεση σας για οποιαδήποτε περαιτέρω διευκρίνηση ή πληροφορία. </w:t>
      </w:r>
    </w:p>
    <w:p w14:paraId="16FD7D61" w14:textId="1F41E06D" w:rsidR="00BB5A1B" w:rsidRDefault="00BB5A1B" w:rsidP="00A83906">
      <w:pPr>
        <w:spacing w:after="0" w:line="240" w:lineRule="auto"/>
        <w:jc w:val="both"/>
        <w:rPr>
          <w:rFonts w:cstheme="minorHAnsi"/>
          <w:sz w:val="20"/>
          <w:szCs w:val="20"/>
        </w:rPr>
      </w:pPr>
    </w:p>
    <w:p w14:paraId="4E4BCCE9" w14:textId="227EFC2C" w:rsidR="00A83906" w:rsidRDefault="000E4211" w:rsidP="00A83906">
      <w:pPr>
        <w:spacing w:after="0" w:line="240" w:lineRule="auto"/>
        <w:jc w:val="both"/>
        <w:rPr>
          <w:rFonts w:cstheme="minorHAnsi"/>
          <w:sz w:val="20"/>
          <w:szCs w:val="20"/>
        </w:rPr>
      </w:pPr>
      <w:r>
        <w:rPr>
          <w:rFonts w:cstheme="minorHAnsi"/>
          <w:sz w:val="20"/>
          <w:szCs w:val="20"/>
        </w:rPr>
        <w:t>Για τον ΣΠΕΦ, μ</w:t>
      </w:r>
      <w:r w:rsidR="00A83906" w:rsidRPr="00F24430">
        <w:rPr>
          <w:rFonts w:cstheme="minorHAnsi"/>
          <w:sz w:val="20"/>
          <w:szCs w:val="20"/>
        </w:rPr>
        <w:t>ε εκτίμηση</w:t>
      </w:r>
    </w:p>
    <w:p w14:paraId="4D00EFC5" w14:textId="5A3FA3C0" w:rsidR="00A83906" w:rsidRDefault="00A83906" w:rsidP="00A83906">
      <w:pPr>
        <w:spacing w:after="0" w:line="240" w:lineRule="auto"/>
        <w:jc w:val="both"/>
        <w:rPr>
          <w:rFonts w:cstheme="minorHAnsi"/>
          <w:sz w:val="20"/>
          <w:szCs w:val="20"/>
        </w:rPr>
      </w:pPr>
    </w:p>
    <w:p w14:paraId="39E0BBEE" w14:textId="03D582B4" w:rsidR="00A83906" w:rsidRDefault="00A83906" w:rsidP="00A83906">
      <w:pPr>
        <w:spacing w:after="0" w:line="240" w:lineRule="auto"/>
        <w:jc w:val="both"/>
        <w:rPr>
          <w:rFonts w:cstheme="minorHAnsi"/>
          <w:sz w:val="20"/>
          <w:szCs w:val="20"/>
        </w:rPr>
      </w:pPr>
      <w:r>
        <w:rPr>
          <w:rFonts w:cstheme="minorHAnsi"/>
          <w:sz w:val="20"/>
          <w:szCs w:val="20"/>
        </w:rPr>
        <w:t>Δρ. Στέλιος Λουμάκης</w:t>
      </w:r>
      <w:r w:rsidR="000E4211">
        <w:rPr>
          <w:rFonts w:cstheme="minorHAnsi"/>
          <w:sz w:val="20"/>
          <w:szCs w:val="20"/>
        </w:rPr>
        <w:t xml:space="preserve"> - </w:t>
      </w:r>
      <w:r>
        <w:rPr>
          <w:rFonts w:cstheme="minorHAnsi"/>
          <w:sz w:val="20"/>
          <w:szCs w:val="20"/>
        </w:rPr>
        <w:t xml:space="preserve">Πρόεδρος </w:t>
      </w:r>
    </w:p>
    <w:p w14:paraId="1CDD5C41" w14:textId="1D8CE0B1" w:rsidR="00A83906" w:rsidRDefault="000E4211" w:rsidP="009B7994">
      <w:pPr>
        <w:spacing w:after="0" w:line="240" w:lineRule="auto"/>
        <w:jc w:val="both"/>
      </w:pPr>
      <w:r>
        <w:rPr>
          <w:rFonts w:cstheme="minorHAnsi"/>
          <w:sz w:val="20"/>
          <w:szCs w:val="20"/>
        </w:rPr>
        <w:t>Γιώργος Σαμαράς – Γεν. Γραμματέας</w:t>
      </w:r>
    </w:p>
    <w:sectPr w:rsidR="00A83906" w:rsidSect="00E2361A">
      <w:footerReference w:type="even" r:id="rId10"/>
      <w:footerReference w:type="default" r:id="rId11"/>
      <w:pgSz w:w="11906" w:h="16838"/>
      <w:pgMar w:top="709" w:right="1646" w:bottom="993"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844F4" w14:textId="77777777" w:rsidR="006A7785" w:rsidRDefault="006A7785">
      <w:pPr>
        <w:spacing w:after="0" w:line="240" w:lineRule="auto"/>
      </w:pPr>
      <w:r>
        <w:separator/>
      </w:r>
    </w:p>
  </w:endnote>
  <w:endnote w:type="continuationSeparator" w:id="0">
    <w:p w14:paraId="66D73A20" w14:textId="77777777" w:rsidR="006A7785" w:rsidRDefault="006A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BAA0" w14:textId="77777777" w:rsidR="00C775FE" w:rsidRDefault="00C77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346A5" w14:textId="77777777" w:rsidR="00C775FE" w:rsidRDefault="00C775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1083" w14:textId="77777777" w:rsidR="00C775FE" w:rsidRDefault="00C77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2CE">
      <w:rPr>
        <w:rStyle w:val="PageNumber"/>
        <w:noProof/>
      </w:rPr>
      <w:t>7</w:t>
    </w:r>
    <w:r>
      <w:rPr>
        <w:rStyle w:val="PageNumber"/>
      </w:rPr>
      <w:fldChar w:fldCharType="end"/>
    </w:r>
  </w:p>
  <w:p w14:paraId="62413CAB" w14:textId="77777777" w:rsidR="00C775FE" w:rsidRPr="000839C7" w:rsidRDefault="00C775F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1F1D" w14:textId="77777777" w:rsidR="006A7785" w:rsidRDefault="006A7785">
      <w:pPr>
        <w:spacing w:after="0" w:line="240" w:lineRule="auto"/>
      </w:pPr>
      <w:r>
        <w:separator/>
      </w:r>
    </w:p>
  </w:footnote>
  <w:footnote w:type="continuationSeparator" w:id="0">
    <w:p w14:paraId="43F213FF" w14:textId="77777777" w:rsidR="006A7785" w:rsidRDefault="006A7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11B"/>
    <w:multiLevelType w:val="hybridMultilevel"/>
    <w:tmpl w:val="2E409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E178AC"/>
    <w:multiLevelType w:val="multilevel"/>
    <w:tmpl w:val="54D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22422"/>
    <w:multiLevelType w:val="hybridMultilevel"/>
    <w:tmpl w:val="1A48BA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495D01"/>
    <w:multiLevelType w:val="hybridMultilevel"/>
    <w:tmpl w:val="1846BCDE"/>
    <w:lvl w:ilvl="0" w:tplc="9FC6DBC0">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790C86"/>
    <w:multiLevelType w:val="hybridMultilevel"/>
    <w:tmpl w:val="53681A0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9941588"/>
    <w:multiLevelType w:val="hybridMultilevel"/>
    <w:tmpl w:val="5964D89C"/>
    <w:lvl w:ilvl="0" w:tplc="3D9E5ED4">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ED090B"/>
    <w:multiLevelType w:val="hybridMultilevel"/>
    <w:tmpl w:val="9B907F8E"/>
    <w:lvl w:ilvl="0" w:tplc="D360CAD0">
      <w:start w:val="1"/>
      <w:numFmt w:val="decimal"/>
      <w:lvlText w:val="%1."/>
      <w:lvlJc w:val="left"/>
      <w:pPr>
        <w:ind w:left="928" w:hanging="360"/>
      </w:pPr>
      <w:rPr>
        <w:rFonts w:eastAsia="Times New Roman" w:cstheme="minorHAnsi" w:hint="default"/>
        <w:b w:val="0"/>
        <w:bCs w:val="0"/>
        <w:color w:val="222222"/>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7">
    <w:nsid w:val="102221BE"/>
    <w:multiLevelType w:val="hybridMultilevel"/>
    <w:tmpl w:val="E77876FC"/>
    <w:lvl w:ilvl="0" w:tplc="386CE262">
      <w:start w:val="1"/>
      <w:numFmt w:val="decimal"/>
      <w:lvlText w:val="%1."/>
      <w:lvlJc w:val="left"/>
      <w:pPr>
        <w:ind w:left="644"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12436"/>
    <w:multiLevelType w:val="hybridMultilevel"/>
    <w:tmpl w:val="ACA238F0"/>
    <w:lvl w:ilvl="0" w:tplc="80A81714">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D71194"/>
    <w:multiLevelType w:val="hybridMultilevel"/>
    <w:tmpl w:val="0ECC25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2073DD2"/>
    <w:multiLevelType w:val="multilevel"/>
    <w:tmpl w:val="C55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917938"/>
    <w:multiLevelType w:val="hybridMultilevel"/>
    <w:tmpl w:val="C0785D60"/>
    <w:lvl w:ilvl="0" w:tplc="58E00EE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7798"/>
    <w:multiLevelType w:val="hybridMultilevel"/>
    <w:tmpl w:val="EC8098F8"/>
    <w:lvl w:ilvl="0" w:tplc="803CF6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EF30232"/>
    <w:multiLevelType w:val="hybridMultilevel"/>
    <w:tmpl w:val="78E8CA7A"/>
    <w:lvl w:ilvl="0" w:tplc="5180FEB8">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5008A5"/>
    <w:multiLevelType w:val="hybridMultilevel"/>
    <w:tmpl w:val="B1DC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53261"/>
    <w:multiLevelType w:val="hybridMultilevel"/>
    <w:tmpl w:val="BD9E0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C7F39FD"/>
    <w:multiLevelType w:val="hybridMultilevel"/>
    <w:tmpl w:val="AA90059C"/>
    <w:lvl w:ilvl="0" w:tplc="04080001">
      <w:start w:val="1"/>
      <w:numFmt w:val="bullet"/>
      <w:lvlText w:val=""/>
      <w:lvlJc w:val="left"/>
      <w:pPr>
        <w:ind w:left="827" w:hanging="360"/>
      </w:pPr>
      <w:rPr>
        <w:rFonts w:ascii="Symbol" w:hAnsi="Symbol" w:hint="default"/>
      </w:rPr>
    </w:lvl>
    <w:lvl w:ilvl="1" w:tplc="04080003" w:tentative="1">
      <w:start w:val="1"/>
      <w:numFmt w:val="bullet"/>
      <w:lvlText w:val="o"/>
      <w:lvlJc w:val="left"/>
      <w:pPr>
        <w:ind w:left="1547" w:hanging="360"/>
      </w:pPr>
      <w:rPr>
        <w:rFonts w:ascii="Courier New" w:hAnsi="Courier New" w:cs="Courier New" w:hint="default"/>
      </w:rPr>
    </w:lvl>
    <w:lvl w:ilvl="2" w:tplc="04080005" w:tentative="1">
      <w:start w:val="1"/>
      <w:numFmt w:val="bullet"/>
      <w:lvlText w:val=""/>
      <w:lvlJc w:val="left"/>
      <w:pPr>
        <w:ind w:left="2267" w:hanging="360"/>
      </w:pPr>
      <w:rPr>
        <w:rFonts w:ascii="Wingdings" w:hAnsi="Wingdings" w:hint="default"/>
      </w:rPr>
    </w:lvl>
    <w:lvl w:ilvl="3" w:tplc="04080001" w:tentative="1">
      <w:start w:val="1"/>
      <w:numFmt w:val="bullet"/>
      <w:lvlText w:val=""/>
      <w:lvlJc w:val="left"/>
      <w:pPr>
        <w:ind w:left="2987" w:hanging="360"/>
      </w:pPr>
      <w:rPr>
        <w:rFonts w:ascii="Symbol" w:hAnsi="Symbol" w:hint="default"/>
      </w:rPr>
    </w:lvl>
    <w:lvl w:ilvl="4" w:tplc="04080003" w:tentative="1">
      <w:start w:val="1"/>
      <w:numFmt w:val="bullet"/>
      <w:lvlText w:val="o"/>
      <w:lvlJc w:val="left"/>
      <w:pPr>
        <w:ind w:left="3707" w:hanging="360"/>
      </w:pPr>
      <w:rPr>
        <w:rFonts w:ascii="Courier New" w:hAnsi="Courier New" w:cs="Courier New" w:hint="default"/>
      </w:rPr>
    </w:lvl>
    <w:lvl w:ilvl="5" w:tplc="04080005" w:tentative="1">
      <w:start w:val="1"/>
      <w:numFmt w:val="bullet"/>
      <w:lvlText w:val=""/>
      <w:lvlJc w:val="left"/>
      <w:pPr>
        <w:ind w:left="4427" w:hanging="360"/>
      </w:pPr>
      <w:rPr>
        <w:rFonts w:ascii="Wingdings" w:hAnsi="Wingdings" w:hint="default"/>
      </w:rPr>
    </w:lvl>
    <w:lvl w:ilvl="6" w:tplc="04080001" w:tentative="1">
      <w:start w:val="1"/>
      <w:numFmt w:val="bullet"/>
      <w:lvlText w:val=""/>
      <w:lvlJc w:val="left"/>
      <w:pPr>
        <w:ind w:left="5147" w:hanging="360"/>
      </w:pPr>
      <w:rPr>
        <w:rFonts w:ascii="Symbol" w:hAnsi="Symbol" w:hint="default"/>
      </w:rPr>
    </w:lvl>
    <w:lvl w:ilvl="7" w:tplc="04080003" w:tentative="1">
      <w:start w:val="1"/>
      <w:numFmt w:val="bullet"/>
      <w:lvlText w:val="o"/>
      <w:lvlJc w:val="left"/>
      <w:pPr>
        <w:ind w:left="5867" w:hanging="360"/>
      </w:pPr>
      <w:rPr>
        <w:rFonts w:ascii="Courier New" w:hAnsi="Courier New" w:cs="Courier New" w:hint="default"/>
      </w:rPr>
    </w:lvl>
    <w:lvl w:ilvl="8" w:tplc="04080005" w:tentative="1">
      <w:start w:val="1"/>
      <w:numFmt w:val="bullet"/>
      <w:lvlText w:val=""/>
      <w:lvlJc w:val="left"/>
      <w:pPr>
        <w:ind w:left="6587" w:hanging="360"/>
      </w:pPr>
      <w:rPr>
        <w:rFonts w:ascii="Wingdings" w:hAnsi="Wingdings" w:hint="default"/>
      </w:rPr>
    </w:lvl>
  </w:abstractNum>
  <w:abstractNum w:abstractNumId="17">
    <w:nsid w:val="2F102B9D"/>
    <w:multiLevelType w:val="hybridMultilevel"/>
    <w:tmpl w:val="B4E8BCFC"/>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nsid w:val="2F591CA2"/>
    <w:multiLevelType w:val="hybridMultilevel"/>
    <w:tmpl w:val="3760D390"/>
    <w:lvl w:ilvl="0" w:tplc="AF560842">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12A4231"/>
    <w:multiLevelType w:val="hybridMultilevel"/>
    <w:tmpl w:val="D80A6EF6"/>
    <w:lvl w:ilvl="0" w:tplc="0408000F">
      <w:start w:val="1"/>
      <w:numFmt w:val="decimal"/>
      <w:lvlText w:val="%1."/>
      <w:lvlJc w:val="left"/>
      <w:pPr>
        <w:ind w:left="870" w:hanging="360"/>
      </w:pPr>
    </w:lvl>
    <w:lvl w:ilvl="1" w:tplc="04080019" w:tentative="1">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20">
    <w:nsid w:val="35E667B2"/>
    <w:multiLevelType w:val="hybridMultilevel"/>
    <w:tmpl w:val="84CAA01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7EA3923"/>
    <w:multiLevelType w:val="hybridMultilevel"/>
    <w:tmpl w:val="84CAA01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C204ED9"/>
    <w:multiLevelType w:val="hybridMultilevel"/>
    <w:tmpl w:val="0C3244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DCC7A38"/>
    <w:multiLevelType w:val="hybridMultilevel"/>
    <w:tmpl w:val="1BC81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E71080"/>
    <w:multiLevelType w:val="hybridMultilevel"/>
    <w:tmpl w:val="EE803F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2712DC6"/>
    <w:multiLevelType w:val="hybridMultilevel"/>
    <w:tmpl w:val="F8BE51C2"/>
    <w:lvl w:ilvl="0" w:tplc="97A4DC3E">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88F4944"/>
    <w:multiLevelType w:val="hybridMultilevel"/>
    <w:tmpl w:val="FB6041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C313CF2"/>
    <w:multiLevelType w:val="hybridMultilevel"/>
    <w:tmpl w:val="30FED274"/>
    <w:lvl w:ilvl="0" w:tplc="58E00EE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D3E16E8"/>
    <w:multiLevelType w:val="hybridMultilevel"/>
    <w:tmpl w:val="80BC2E48"/>
    <w:lvl w:ilvl="0" w:tplc="CB9815B8">
      <w:start w:val="1"/>
      <w:numFmt w:val="decimal"/>
      <w:lvlText w:val="%1."/>
      <w:lvlJc w:val="left"/>
      <w:pPr>
        <w:ind w:left="644" w:hanging="360"/>
      </w:pPr>
      <w:rPr>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D532EB0"/>
    <w:multiLevelType w:val="hybridMultilevel"/>
    <w:tmpl w:val="E6D03A5A"/>
    <w:lvl w:ilvl="0" w:tplc="AD28458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FEC4EA0"/>
    <w:multiLevelType w:val="hybridMultilevel"/>
    <w:tmpl w:val="1EE24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28448E4"/>
    <w:multiLevelType w:val="hybridMultilevel"/>
    <w:tmpl w:val="546E58B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5A26D57"/>
    <w:multiLevelType w:val="hybridMultilevel"/>
    <w:tmpl w:val="BE82F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5CE7EDA"/>
    <w:multiLevelType w:val="hybridMultilevel"/>
    <w:tmpl w:val="767A83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8144286"/>
    <w:multiLevelType w:val="hybridMultilevel"/>
    <w:tmpl w:val="DB9C9252"/>
    <w:lvl w:ilvl="0" w:tplc="58E00EE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8D66060"/>
    <w:multiLevelType w:val="hybridMultilevel"/>
    <w:tmpl w:val="6644A8D8"/>
    <w:lvl w:ilvl="0" w:tplc="306E6EF6">
      <w:start w:val="1"/>
      <w:numFmt w:val="decimal"/>
      <w:lvlText w:val="%1."/>
      <w:lvlJc w:val="left"/>
      <w:pPr>
        <w:ind w:left="720" w:hanging="360"/>
      </w:pPr>
      <w:rPr>
        <w:rFonts w:eastAsia="Times New Roman" w:hint="default"/>
        <w:color w:val="222222"/>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E0815A6"/>
    <w:multiLevelType w:val="hybridMultilevel"/>
    <w:tmpl w:val="47CA7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11B05FC"/>
    <w:multiLevelType w:val="hybridMultilevel"/>
    <w:tmpl w:val="301CEA82"/>
    <w:lvl w:ilvl="0" w:tplc="18A862A0">
      <w:numFmt w:val="bullet"/>
      <w:lvlText w:val="-"/>
      <w:lvlJc w:val="left"/>
      <w:pPr>
        <w:ind w:left="644" w:hanging="360"/>
      </w:pPr>
      <w:rPr>
        <w:rFonts w:ascii="Calibri" w:eastAsia="Calibri"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8">
    <w:nsid w:val="64241399"/>
    <w:multiLevelType w:val="hybridMultilevel"/>
    <w:tmpl w:val="E77876FC"/>
    <w:lvl w:ilvl="0" w:tplc="386CE262">
      <w:start w:val="1"/>
      <w:numFmt w:val="decimal"/>
      <w:lvlText w:val="%1."/>
      <w:lvlJc w:val="left"/>
      <w:pPr>
        <w:ind w:left="644"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59257DC"/>
    <w:multiLevelType w:val="hybridMultilevel"/>
    <w:tmpl w:val="902212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AF32FA3"/>
    <w:multiLevelType w:val="hybridMultilevel"/>
    <w:tmpl w:val="53B6E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CF1386B"/>
    <w:multiLevelType w:val="hybridMultilevel"/>
    <w:tmpl w:val="D10AFEB2"/>
    <w:lvl w:ilvl="0" w:tplc="70E2048C">
      <w:start w:val="3"/>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2">
    <w:nsid w:val="775E1F9C"/>
    <w:multiLevelType w:val="multilevel"/>
    <w:tmpl w:val="D0001730"/>
    <w:lvl w:ilvl="0">
      <w:start w:val="1"/>
      <w:numFmt w:val="decimal"/>
      <w:lvlText w:val="%1."/>
      <w:lvlJc w:val="left"/>
      <w:pPr>
        <w:ind w:left="360" w:hanging="360"/>
      </w:pPr>
      <w:rPr>
        <w:rFonts w:cs="Times New Roman" w:hint="default"/>
        <w:w w:val="108"/>
      </w:rPr>
    </w:lvl>
    <w:lvl w:ilvl="1">
      <w:start w:val="1"/>
      <w:numFmt w:val="decimal"/>
      <w:lvlText w:val="%1.%2."/>
      <w:lvlJc w:val="left"/>
      <w:pPr>
        <w:ind w:left="862" w:hanging="720"/>
      </w:pPr>
      <w:rPr>
        <w:rFonts w:cs="Times New Roman" w:hint="default"/>
        <w:w w:val="108"/>
      </w:rPr>
    </w:lvl>
    <w:lvl w:ilvl="2">
      <w:start w:val="1"/>
      <w:numFmt w:val="decimal"/>
      <w:lvlText w:val="%1.%2.%3."/>
      <w:lvlJc w:val="left"/>
      <w:pPr>
        <w:ind w:left="1004" w:hanging="720"/>
      </w:pPr>
      <w:rPr>
        <w:rFonts w:cs="Times New Roman" w:hint="default"/>
        <w:w w:val="108"/>
      </w:rPr>
    </w:lvl>
    <w:lvl w:ilvl="3">
      <w:start w:val="1"/>
      <w:numFmt w:val="decimal"/>
      <w:lvlText w:val="%1.%2.%3.%4."/>
      <w:lvlJc w:val="left"/>
      <w:pPr>
        <w:ind w:left="1506" w:hanging="1080"/>
      </w:pPr>
      <w:rPr>
        <w:rFonts w:cs="Times New Roman" w:hint="default"/>
        <w:w w:val="108"/>
      </w:rPr>
    </w:lvl>
    <w:lvl w:ilvl="4">
      <w:start w:val="1"/>
      <w:numFmt w:val="decimal"/>
      <w:lvlText w:val="%1.%2.%3.%4.%5."/>
      <w:lvlJc w:val="left"/>
      <w:pPr>
        <w:ind w:left="1648" w:hanging="1080"/>
      </w:pPr>
      <w:rPr>
        <w:rFonts w:cs="Times New Roman" w:hint="default"/>
        <w:w w:val="108"/>
      </w:rPr>
    </w:lvl>
    <w:lvl w:ilvl="5">
      <w:start w:val="1"/>
      <w:numFmt w:val="decimal"/>
      <w:lvlText w:val="%1.%2.%3.%4.%5.%6."/>
      <w:lvlJc w:val="left"/>
      <w:pPr>
        <w:ind w:left="2150" w:hanging="1440"/>
      </w:pPr>
      <w:rPr>
        <w:rFonts w:cs="Times New Roman" w:hint="default"/>
        <w:w w:val="108"/>
      </w:rPr>
    </w:lvl>
    <w:lvl w:ilvl="6">
      <w:start w:val="1"/>
      <w:numFmt w:val="decimal"/>
      <w:lvlText w:val="%1.%2.%3.%4.%5.%6.%7."/>
      <w:lvlJc w:val="left"/>
      <w:pPr>
        <w:ind w:left="2292" w:hanging="1440"/>
      </w:pPr>
      <w:rPr>
        <w:rFonts w:cs="Times New Roman" w:hint="default"/>
        <w:w w:val="108"/>
      </w:rPr>
    </w:lvl>
    <w:lvl w:ilvl="7">
      <w:start w:val="1"/>
      <w:numFmt w:val="decimal"/>
      <w:lvlText w:val="%1.%2.%3.%4.%5.%6.%7.%8."/>
      <w:lvlJc w:val="left"/>
      <w:pPr>
        <w:ind w:left="2794" w:hanging="1800"/>
      </w:pPr>
      <w:rPr>
        <w:rFonts w:cs="Times New Roman" w:hint="default"/>
        <w:w w:val="108"/>
      </w:rPr>
    </w:lvl>
    <w:lvl w:ilvl="8">
      <w:start w:val="1"/>
      <w:numFmt w:val="decimal"/>
      <w:lvlText w:val="%1.%2.%3.%4.%5.%6.%7.%8.%9."/>
      <w:lvlJc w:val="left"/>
      <w:pPr>
        <w:ind w:left="2936" w:hanging="1800"/>
      </w:pPr>
      <w:rPr>
        <w:rFonts w:cs="Times New Roman" w:hint="default"/>
        <w:w w:val="108"/>
      </w:rPr>
    </w:lvl>
  </w:abstractNum>
  <w:abstractNum w:abstractNumId="43">
    <w:nsid w:val="78094BC5"/>
    <w:multiLevelType w:val="hybridMultilevel"/>
    <w:tmpl w:val="BE0E9B70"/>
    <w:lvl w:ilvl="0" w:tplc="98F44390">
      <w:start w:val="1"/>
      <w:numFmt w:val="decimal"/>
      <w:lvlText w:val="%1."/>
      <w:lvlJc w:val="left"/>
      <w:pPr>
        <w:tabs>
          <w:tab w:val="num" w:pos="720"/>
        </w:tabs>
        <w:ind w:left="720" w:hanging="360"/>
      </w:pPr>
      <w:rPr>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8551EE6"/>
    <w:multiLevelType w:val="hybridMultilevel"/>
    <w:tmpl w:val="446EBC3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5">
    <w:nsid w:val="79A75F64"/>
    <w:multiLevelType w:val="hybridMultilevel"/>
    <w:tmpl w:val="1DB29E8E"/>
    <w:lvl w:ilvl="0" w:tplc="AD342FB8">
      <w:start w:val="1"/>
      <w:numFmt w:val="decimal"/>
      <w:lvlText w:val="%1."/>
      <w:lvlJc w:val="left"/>
      <w:pPr>
        <w:ind w:left="720" w:hanging="360"/>
      </w:pPr>
      <w:rPr>
        <w:rFonts w:eastAsia="Times New Roman" w:hint="default"/>
        <w:color w:val="222222"/>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B60695A"/>
    <w:multiLevelType w:val="hybridMultilevel"/>
    <w:tmpl w:val="AC7214E6"/>
    <w:lvl w:ilvl="0" w:tplc="00D4413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17"/>
  </w:num>
  <w:num w:numId="4">
    <w:abstractNumId w:val="14"/>
  </w:num>
  <w:num w:numId="5">
    <w:abstractNumId w:val="10"/>
  </w:num>
  <w:num w:numId="6">
    <w:abstractNumId w:val="1"/>
  </w:num>
  <w:num w:numId="7">
    <w:abstractNumId w:val="44"/>
  </w:num>
  <w:num w:numId="8">
    <w:abstractNumId w:val="46"/>
  </w:num>
  <w:num w:numId="9">
    <w:abstractNumId w:val="29"/>
  </w:num>
  <w:num w:numId="10">
    <w:abstractNumId w:val="39"/>
  </w:num>
  <w:num w:numId="11">
    <w:abstractNumId w:val="5"/>
  </w:num>
  <w:num w:numId="12">
    <w:abstractNumId w:val="15"/>
  </w:num>
  <w:num w:numId="13">
    <w:abstractNumId w:val="18"/>
  </w:num>
  <w:num w:numId="14">
    <w:abstractNumId w:val="32"/>
  </w:num>
  <w:num w:numId="15">
    <w:abstractNumId w:val="36"/>
  </w:num>
  <w:num w:numId="16">
    <w:abstractNumId w:val="16"/>
  </w:num>
  <w:num w:numId="17">
    <w:abstractNumId w:val="13"/>
  </w:num>
  <w:num w:numId="18">
    <w:abstractNumId w:val="3"/>
  </w:num>
  <w:num w:numId="19">
    <w:abstractNumId w:val="23"/>
  </w:num>
  <w:num w:numId="20">
    <w:abstractNumId w:val="8"/>
  </w:num>
  <w:num w:numId="21">
    <w:abstractNumId w:val="9"/>
  </w:num>
  <w:num w:numId="22">
    <w:abstractNumId w:val="40"/>
  </w:num>
  <w:num w:numId="23">
    <w:abstractNumId w:val="24"/>
  </w:num>
  <w:num w:numId="24">
    <w:abstractNumId w:val="25"/>
  </w:num>
  <w:num w:numId="25">
    <w:abstractNumId w:val="0"/>
  </w:num>
  <w:num w:numId="26">
    <w:abstractNumId w:val="19"/>
  </w:num>
  <w:num w:numId="27">
    <w:abstractNumId w:val="26"/>
  </w:num>
  <w:num w:numId="28">
    <w:abstractNumId w:val="37"/>
  </w:num>
  <w:num w:numId="29">
    <w:abstractNumId w:val="41"/>
  </w:num>
  <w:num w:numId="30">
    <w:abstractNumId w:val="11"/>
  </w:num>
  <w:num w:numId="31">
    <w:abstractNumId w:val="43"/>
  </w:num>
  <w:num w:numId="32">
    <w:abstractNumId w:val="27"/>
  </w:num>
  <w:num w:numId="33">
    <w:abstractNumId w:val="34"/>
  </w:num>
  <w:num w:numId="34">
    <w:abstractNumId w:val="30"/>
  </w:num>
  <w:num w:numId="35">
    <w:abstractNumId w:val="21"/>
  </w:num>
  <w:num w:numId="36">
    <w:abstractNumId w:val="12"/>
  </w:num>
  <w:num w:numId="37">
    <w:abstractNumId w:val="28"/>
  </w:num>
  <w:num w:numId="38">
    <w:abstractNumId w:val="20"/>
  </w:num>
  <w:num w:numId="39">
    <w:abstractNumId w:val="6"/>
  </w:num>
  <w:num w:numId="40">
    <w:abstractNumId w:val="2"/>
  </w:num>
  <w:num w:numId="41">
    <w:abstractNumId w:val="22"/>
  </w:num>
  <w:num w:numId="42">
    <w:abstractNumId w:val="33"/>
  </w:num>
  <w:num w:numId="43">
    <w:abstractNumId w:val="38"/>
  </w:num>
  <w:num w:numId="44">
    <w:abstractNumId w:val="35"/>
  </w:num>
  <w:num w:numId="45">
    <w:abstractNumId w:val="45"/>
  </w:num>
  <w:num w:numId="46">
    <w:abstractNumId w:val="3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49"/>
    <w:rsid w:val="00000CE1"/>
    <w:rsid w:val="00002C1F"/>
    <w:rsid w:val="00003836"/>
    <w:rsid w:val="00006468"/>
    <w:rsid w:val="00007EB0"/>
    <w:rsid w:val="00015148"/>
    <w:rsid w:val="00016EE5"/>
    <w:rsid w:val="00025AF6"/>
    <w:rsid w:val="00025B10"/>
    <w:rsid w:val="0003054F"/>
    <w:rsid w:val="0003276B"/>
    <w:rsid w:val="000344FB"/>
    <w:rsid w:val="00035355"/>
    <w:rsid w:val="0003539E"/>
    <w:rsid w:val="00036AFF"/>
    <w:rsid w:val="00037252"/>
    <w:rsid w:val="00040F69"/>
    <w:rsid w:val="0004303D"/>
    <w:rsid w:val="00043429"/>
    <w:rsid w:val="00044590"/>
    <w:rsid w:val="000453FB"/>
    <w:rsid w:val="0004608F"/>
    <w:rsid w:val="00046C59"/>
    <w:rsid w:val="00050574"/>
    <w:rsid w:val="0005075B"/>
    <w:rsid w:val="000518C1"/>
    <w:rsid w:val="00054F4F"/>
    <w:rsid w:val="00055E88"/>
    <w:rsid w:val="0006104C"/>
    <w:rsid w:val="000665B2"/>
    <w:rsid w:val="00070FA0"/>
    <w:rsid w:val="0007377B"/>
    <w:rsid w:val="00073E7B"/>
    <w:rsid w:val="00074CC2"/>
    <w:rsid w:val="0008067B"/>
    <w:rsid w:val="000833DF"/>
    <w:rsid w:val="000839C7"/>
    <w:rsid w:val="00084F5A"/>
    <w:rsid w:val="000851CB"/>
    <w:rsid w:val="00091425"/>
    <w:rsid w:val="000A4F60"/>
    <w:rsid w:val="000A7AE5"/>
    <w:rsid w:val="000B1779"/>
    <w:rsid w:val="000B2FFB"/>
    <w:rsid w:val="000B3180"/>
    <w:rsid w:val="000B666B"/>
    <w:rsid w:val="000C018B"/>
    <w:rsid w:val="000C0E59"/>
    <w:rsid w:val="000C18A2"/>
    <w:rsid w:val="000C196E"/>
    <w:rsid w:val="000C27AF"/>
    <w:rsid w:val="000E181B"/>
    <w:rsid w:val="000E26B3"/>
    <w:rsid w:val="000E2737"/>
    <w:rsid w:val="000E4211"/>
    <w:rsid w:val="000E56A6"/>
    <w:rsid w:val="000E5A0D"/>
    <w:rsid w:val="000E7B99"/>
    <w:rsid w:val="000F36AD"/>
    <w:rsid w:val="00101ED5"/>
    <w:rsid w:val="00103D1F"/>
    <w:rsid w:val="00110874"/>
    <w:rsid w:val="00114692"/>
    <w:rsid w:val="00117C57"/>
    <w:rsid w:val="00120442"/>
    <w:rsid w:val="00120AD6"/>
    <w:rsid w:val="00120E9C"/>
    <w:rsid w:val="00121506"/>
    <w:rsid w:val="00124603"/>
    <w:rsid w:val="0012487A"/>
    <w:rsid w:val="001249D7"/>
    <w:rsid w:val="0012772E"/>
    <w:rsid w:val="00130DB6"/>
    <w:rsid w:val="001354D3"/>
    <w:rsid w:val="00142433"/>
    <w:rsid w:val="00144936"/>
    <w:rsid w:val="0014571E"/>
    <w:rsid w:val="001466EC"/>
    <w:rsid w:val="00147475"/>
    <w:rsid w:val="001501BA"/>
    <w:rsid w:val="0015118B"/>
    <w:rsid w:val="001525A2"/>
    <w:rsid w:val="0015467C"/>
    <w:rsid w:val="00154FF6"/>
    <w:rsid w:val="00155D53"/>
    <w:rsid w:val="00157BD8"/>
    <w:rsid w:val="001626D5"/>
    <w:rsid w:val="00163849"/>
    <w:rsid w:val="00163E8B"/>
    <w:rsid w:val="00165519"/>
    <w:rsid w:val="00166C36"/>
    <w:rsid w:val="00170F48"/>
    <w:rsid w:val="00175BDA"/>
    <w:rsid w:val="00181028"/>
    <w:rsid w:val="001831BD"/>
    <w:rsid w:val="0018599E"/>
    <w:rsid w:val="00185CB8"/>
    <w:rsid w:val="0018647F"/>
    <w:rsid w:val="001866AF"/>
    <w:rsid w:val="00190949"/>
    <w:rsid w:val="00191861"/>
    <w:rsid w:val="00195B6D"/>
    <w:rsid w:val="001A3B4B"/>
    <w:rsid w:val="001A66BF"/>
    <w:rsid w:val="001A6893"/>
    <w:rsid w:val="001B5961"/>
    <w:rsid w:val="001B5F79"/>
    <w:rsid w:val="001B7BA7"/>
    <w:rsid w:val="001C02A1"/>
    <w:rsid w:val="001C1211"/>
    <w:rsid w:val="001C27F3"/>
    <w:rsid w:val="001D19B9"/>
    <w:rsid w:val="001D23B9"/>
    <w:rsid w:val="001D4324"/>
    <w:rsid w:val="001D4F75"/>
    <w:rsid w:val="001D50A3"/>
    <w:rsid w:val="001E0030"/>
    <w:rsid w:val="001E228E"/>
    <w:rsid w:val="001E42CC"/>
    <w:rsid w:val="001E4EC0"/>
    <w:rsid w:val="001F2094"/>
    <w:rsid w:val="001F39C6"/>
    <w:rsid w:val="001F64A1"/>
    <w:rsid w:val="0020233C"/>
    <w:rsid w:val="0020615C"/>
    <w:rsid w:val="002061A1"/>
    <w:rsid w:val="00206FB5"/>
    <w:rsid w:val="0021160D"/>
    <w:rsid w:val="00212892"/>
    <w:rsid w:val="00214118"/>
    <w:rsid w:val="002172DE"/>
    <w:rsid w:val="00217FD5"/>
    <w:rsid w:val="00222E93"/>
    <w:rsid w:val="0022520B"/>
    <w:rsid w:val="00226EED"/>
    <w:rsid w:val="00227DB4"/>
    <w:rsid w:val="002331C3"/>
    <w:rsid w:val="00236279"/>
    <w:rsid w:val="00236BDC"/>
    <w:rsid w:val="00241AF2"/>
    <w:rsid w:val="00241B1B"/>
    <w:rsid w:val="00242DAC"/>
    <w:rsid w:val="00244178"/>
    <w:rsid w:val="002461D5"/>
    <w:rsid w:val="00253DC1"/>
    <w:rsid w:val="00255740"/>
    <w:rsid w:val="00257780"/>
    <w:rsid w:val="00260710"/>
    <w:rsid w:val="00260D83"/>
    <w:rsid w:val="002612C5"/>
    <w:rsid w:val="002619DB"/>
    <w:rsid w:val="00262AD6"/>
    <w:rsid w:val="00265D21"/>
    <w:rsid w:val="00271965"/>
    <w:rsid w:val="0027522A"/>
    <w:rsid w:val="00276A0F"/>
    <w:rsid w:val="00276AF6"/>
    <w:rsid w:val="002819FC"/>
    <w:rsid w:val="00281D1A"/>
    <w:rsid w:val="002909E4"/>
    <w:rsid w:val="002944F4"/>
    <w:rsid w:val="00294A0F"/>
    <w:rsid w:val="002953C3"/>
    <w:rsid w:val="002A087F"/>
    <w:rsid w:val="002A0FAA"/>
    <w:rsid w:val="002A2504"/>
    <w:rsid w:val="002A34A4"/>
    <w:rsid w:val="002A4A78"/>
    <w:rsid w:val="002A7052"/>
    <w:rsid w:val="002B04CA"/>
    <w:rsid w:val="002B205C"/>
    <w:rsid w:val="002B2149"/>
    <w:rsid w:val="002B2D93"/>
    <w:rsid w:val="002B4464"/>
    <w:rsid w:val="002B5D1E"/>
    <w:rsid w:val="002B7E01"/>
    <w:rsid w:val="002C1D48"/>
    <w:rsid w:val="002C3752"/>
    <w:rsid w:val="002C57F0"/>
    <w:rsid w:val="002D1167"/>
    <w:rsid w:val="002D5A13"/>
    <w:rsid w:val="002D6023"/>
    <w:rsid w:val="002D6C3A"/>
    <w:rsid w:val="002E1036"/>
    <w:rsid w:val="002E28A9"/>
    <w:rsid w:val="002E5EB1"/>
    <w:rsid w:val="002F0582"/>
    <w:rsid w:val="002F1563"/>
    <w:rsid w:val="002F3BB0"/>
    <w:rsid w:val="00304286"/>
    <w:rsid w:val="00312168"/>
    <w:rsid w:val="003141FA"/>
    <w:rsid w:val="00314344"/>
    <w:rsid w:val="00317733"/>
    <w:rsid w:val="00317A00"/>
    <w:rsid w:val="00322E05"/>
    <w:rsid w:val="00322E68"/>
    <w:rsid w:val="00323930"/>
    <w:rsid w:val="00323A91"/>
    <w:rsid w:val="00325752"/>
    <w:rsid w:val="00326CA2"/>
    <w:rsid w:val="00334D4B"/>
    <w:rsid w:val="0033673F"/>
    <w:rsid w:val="00337AF7"/>
    <w:rsid w:val="00346CEA"/>
    <w:rsid w:val="0034745C"/>
    <w:rsid w:val="00351951"/>
    <w:rsid w:val="0035541E"/>
    <w:rsid w:val="00355B0C"/>
    <w:rsid w:val="00363511"/>
    <w:rsid w:val="00365A6E"/>
    <w:rsid w:val="00365CD9"/>
    <w:rsid w:val="00367055"/>
    <w:rsid w:val="003729C8"/>
    <w:rsid w:val="00373069"/>
    <w:rsid w:val="00383B78"/>
    <w:rsid w:val="00385069"/>
    <w:rsid w:val="00387C9A"/>
    <w:rsid w:val="00391BE3"/>
    <w:rsid w:val="00393F87"/>
    <w:rsid w:val="00394929"/>
    <w:rsid w:val="003952F6"/>
    <w:rsid w:val="00395812"/>
    <w:rsid w:val="00396A5C"/>
    <w:rsid w:val="003A02CE"/>
    <w:rsid w:val="003A29DF"/>
    <w:rsid w:val="003A6407"/>
    <w:rsid w:val="003B03BB"/>
    <w:rsid w:val="003B0CAD"/>
    <w:rsid w:val="003B3620"/>
    <w:rsid w:val="003B4771"/>
    <w:rsid w:val="003B6F77"/>
    <w:rsid w:val="003B772D"/>
    <w:rsid w:val="003C28DF"/>
    <w:rsid w:val="003C3F7C"/>
    <w:rsid w:val="003C441C"/>
    <w:rsid w:val="003D1790"/>
    <w:rsid w:val="003D19BB"/>
    <w:rsid w:val="003D25BD"/>
    <w:rsid w:val="003D2EE3"/>
    <w:rsid w:val="003D3E81"/>
    <w:rsid w:val="003D40F1"/>
    <w:rsid w:val="003D7B5A"/>
    <w:rsid w:val="003E11EA"/>
    <w:rsid w:val="003E1DB7"/>
    <w:rsid w:val="003E31F9"/>
    <w:rsid w:val="003E6201"/>
    <w:rsid w:val="003F2160"/>
    <w:rsid w:val="003F2E55"/>
    <w:rsid w:val="00401D86"/>
    <w:rsid w:val="00403B90"/>
    <w:rsid w:val="00407412"/>
    <w:rsid w:val="0041101A"/>
    <w:rsid w:val="00411567"/>
    <w:rsid w:val="00427173"/>
    <w:rsid w:val="0044416D"/>
    <w:rsid w:val="004461E8"/>
    <w:rsid w:val="00447A51"/>
    <w:rsid w:val="004516E2"/>
    <w:rsid w:val="00451C84"/>
    <w:rsid w:val="0045347F"/>
    <w:rsid w:val="00453C2F"/>
    <w:rsid w:val="004540BF"/>
    <w:rsid w:val="00455893"/>
    <w:rsid w:val="00482097"/>
    <w:rsid w:val="00482AD6"/>
    <w:rsid w:val="00485790"/>
    <w:rsid w:val="0048664A"/>
    <w:rsid w:val="00487575"/>
    <w:rsid w:val="00487F18"/>
    <w:rsid w:val="00490842"/>
    <w:rsid w:val="00491562"/>
    <w:rsid w:val="004932ED"/>
    <w:rsid w:val="0049391C"/>
    <w:rsid w:val="004A456E"/>
    <w:rsid w:val="004A4A5D"/>
    <w:rsid w:val="004A5A54"/>
    <w:rsid w:val="004A5D39"/>
    <w:rsid w:val="004B5F33"/>
    <w:rsid w:val="004B631F"/>
    <w:rsid w:val="004B7448"/>
    <w:rsid w:val="004C1B27"/>
    <w:rsid w:val="004D1B35"/>
    <w:rsid w:val="004D467F"/>
    <w:rsid w:val="004D58EB"/>
    <w:rsid w:val="004F0417"/>
    <w:rsid w:val="004F2EB1"/>
    <w:rsid w:val="004F57FC"/>
    <w:rsid w:val="004F5960"/>
    <w:rsid w:val="004F7A36"/>
    <w:rsid w:val="00500D2C"/>
    <w:rsid w:val="005011AF"/>
    <w:rsid w:val="0050220F"/>
    <w:rsid w:val="00504446"/>
    <w:rsid w:val="0050780C"/>
    <w:rsid w:val="005149F5"/>
    <w:rsid w:val="005159AD"/>
    <w:rsid w:val="0051689D"/>
    <w:rsid w:val="0052082A"/>
    <w:rsid w:val="005218B0"/>
    <w:rsid w:val="005269BD"/>
    <w:rsid w:val="00527CD1"/>
    <w:rsid w:val="005323C3"/>
    <w:rsid w:val="00534785"/>
    <w:rsid w:val="00536923"/>
    <w:rsid w:val="00537639"/>
    <w:rsid w:val="00537CB9"/>
    <w:rsid w:val="00545F01"/>
    <w:rsid w:val="00546C82"/>
    <w:rsid w:val="0055007E"/>
    <w:rsid w:val="00550269"/>
    <w:rsid w:val="00550B27"/>
    <w:rsid w:val="00550D80"/>
    <w:rsid w:val="00551C9B"/>
    <w:rsid w:val="005534BE"/>
    <w:rsid w:val="005536FE"/>
    <w:rsid w:val="00554EB4"/>
    <w:rsid w:val="00562071"/>
    <w:rsid w:val="00566646"/>
    <w:rsid w:val="00566D5D"/>
    <w:rsid w:val="00572F00"/>
    <w:rsid w:val="005739D2"/>
    <w:rsid w:val="00574AAD"/>
    <w:rsid w:val="005769A1"/>
    <w:rsid w:val="00586F81"/>
    <w:rsid w:val="00587131"/>
    <w:rsid w:val="005901E0"/>
    <w:rsid w:val="00592C30"/>
    <w:rsid w:val="00594D64"/>
    <w:rsid w:val="005977B9"/>
    <w:rsid w:val="005A41BB"/>
    <w:rsid w:val="005A4A05"/>
    <w:rsid w:val="005A4E52"/>
    <w:rsid w:val="005B1748"/>
    <w:rsid w:val="005B3619"/>
    <w:rsid w:val="005B3654"/>
    <w:rsid w:val="005B3F5E"/>
    <w:rsid w:val="005B4432"/>
    <w:rsid w:val="005B47AD"/>
    <w:rsid w:val="005B7A4A"/>
    <w:rsid w:val="005C568B"/>
    <w:rsid w:val="005C6673"/>
    <w:rsid w:val="005C7F39"/>
    <w:rsid w:val="005C7FB4"/>
    <w:rsid w:val="005D1E66"/>
    <w:rsid w:val="005D2927"/>
    <w:rsid w:val="005D3CC1"/>
    <w:rsid w:val="005D49AD"/>
    <w:rsid w:val="005D71A5"/>
    <w:rsid w:val="005E24DA"/>
    <w:rsid w:val="005F0BE2"/>
    <w:rsid w:val="005F54AE"/>
    <w:rsid w:val="005F68E5"/>
    <w:rsid w:val="005F7CC2"/>
    <w:rsid w:val="006024E1"/>
    <w:rsid w:val="006075DD"/>
    <w:rsid w:val="00614CB1"/>
    <w:rsid w:val="006308C8"/>
    <w:rsid w:val="006309CF"/>
    <w:rsid w:val="006378C9"/>
    <w:rsid w:val="006431FF"/>
    <w:rsid w:val="00643795"/>
    <w:rsid w:val="006441EF"/>
    <w:rsid w:val="00646CE2"/>
    <w:rsid w:val="006502BA"/>
    <w:rsid w:val="00653766"/>
    <w:rsid w:val="0066079F"/>
    <w:rsid w:val="00671570"/>
    <w:rsid w:val="006725D8"/>
    <w:rsid w:val="00673B35"/>
    <w:rsid w:val="006745D7"/>
    <w:rsid w:val="006752FC"/>
    <w:rsid w:val="006759FE"/>
    <w:rsid w:val="00676023"/>
    <w:rsid w:val="00676735"/>
    <w:rsid w:val="00677736"/>
    <w:rsid w:val="0068140C"/>
    <w:rsid w:val="00683457"/>
    <w:rsid w:val="00690648"/>
    <w:rsid w:val="00692D7B"/>
    <w:rsid w:val="006A0E99"/>
    <w:rsid w:val="006A4C6C"/>
    <w:rsid w:val="006A5F67"/>
    <w:rsid w:val="006A7785"/>
    <w:rsid w:val="006B0389"/>
    <w:rsid w:val="006B1D76"/>
    <w:rsid w:val="006B499D"/>
    <w:rsid w:val="006C1E62"/>
    <w:rsid w:val="006C2D3B"/>
    <w:rsid w:val="006C65B9"/>
    <w:rsid w:val="006C6ACF"/>
    <w:rsid w:val="006D2259"/>
    <w:rsid w:val="006D23A4"/>
    <w:rsid w:val="006D31DD"/>
    <w:rsid w:val="006D426E"/>
    <w:rsid w:val="006E03AE"/>
    <w:rsid w:val="006E2B47"/>
    <w:rsid w:val="006E6678"/>
    <w:rsid w:val="006F035F"/>
    <w:rsid w:val="006F31DB"/>
    <w:rsid w:val="006F39FD"/>
    <w:rsid w:val="006F6047"/>
    <w:rsid w:val="00700770"/>
    <w:rsid w:val="00700A3F"/>
    <w:rsid w:val="00700D74"/>
    <w:rsid w:val="00702F52"/>
    <w:rsid w:val="00703870"/>
    <w:rsid w:val="00707870"/>
    <w:rsid w:val="007122F7"/>
    <w:rsid w:val="00714865"/>
    <w:rsid w:val="007152BF"/>
    <w:rsid w:val="0071698D"/>
    <w:rsid w:val="00720DEC"/>
    <w:rsid w:val="007241A2"/>
    <w:rsid w:val="007253B5"/>
    <w:rsid w:val="00730DCC"/>
    <w:rsid w:val="00734B81"/>
    <w:rsid w:val="007358E5"/>
    <w:rsid w:val="00741429"/>
    <w:rsid w:val="007415D3"/>
    <w:rsid w:val="00741C99"/>
    <w:rsid w:val="00743C21"/>
    <w:rsid w:val="00751686"/>
    <w:rsid w:val="0075441E"/>
    <w:rsid w:val="00754CF0"/>
    <w:rsid w:val="00755B13"/>
    <w:rsid w:val="007569E1"/>
    <w:rsid w:val="00757A61"/>
    <w:rsid w:val="00761F36"/>
    <w:rsid w:val="007658C6"/>
    <w:rsid w:val="00772BE0"/>
    <w:rsid w:val="007801B2"/>
    <w:rsid w:val="0078449A"/>
    <w:rsid w:val="00787349"/>
    <w:rsid w:val="00790D44"/>
    <w:rsid w:val="0079224E"/>
    <w:rsid w:val="00792DBE"/>
    <w:rsid w:val="007951B8"/>
    <w:rsid w:val="007A038E"/>
    <w:rsid w:val="007A0B54"/>
    <w:rsid w:val="007A26E1"/>
    <w:rsid w:val="007A2DD9"/>
    <w:rsid w:val="007A610A"/>
    <w:rsid w:val="007B0FC3"/>
    <w:rsid w:val="007B1FAF"/>
    <w:rsid w:val="007C6B0E"/>
    <w:rsid w:val="007C7EB7"/>
    <w:rsid w:val="007D7EDF"/>
    <w:rsid w:val="007E1635"/>
    <w:rsid w:val="007E2813"/>
    <w:rsid w:val="007E2B33"/>
    <w:rsid w:val="007E4161"/>
    <w:rsid w:val="007F0F9A"/>
    <w:rsid w:val="007F31AB"/>
    <w:rsid w:val="007F3CBB"/>
    <w:rsid w:val="007F61F3"/>
    <w:rsid w:val="0080075C"/>
    <w:rsid w:val="00801327"/>
    <w:rsid w:val="00801ABE"/>
    <w:rsid w:val="00804C35"/>
    <w:rsid w:val="00805661"/>
    <w:rsid w:val="008056A4"/>
    <w:rsid w:val="00810BC9"/>
    <w:rsid w:val="00811269"/>
    <w:rsid w:val="00812A0B"/>
    <w:rsid w:val="00814018"/>
    <w:rsid w:val="0081465C"/>
    <w:rsid w:val="0081628B"/>
    <w:rsid w:val="00824CEC"/>
    <w:rsid w:val="008307EE"/>
    <w:rsid w:val="00840DF0"/>
    <w:rsid w:val="00841E14"/>
    <w:rsid w:val="0084345B"/>
    <w:rsid w:val="0084411A"/>
    <w:rsid w:val="00844D2D"/>
    <w:rsid w:val="00846113"/>
    <w:rsid w:val="00850E82"/>
    <w:rsid w:val="008523CF"/>
    <w:rsid w:val="00852EBA"/>
    <w:rsid w:val="00855021"/>
    <w:rsid w:val="00855022"/>
    <w:rsid w:val="008616D8"/>
    <w:rsid w:val="00862871"/>
    <w:rsid w:val="00865578"/>
    <w:rsid w:val="00865768"/>
    <w:rsid w:val="00872E14"/>
    <w:rsid w:val="00875389"/>
    <w:rsid w:val="00881D5E"/>
    <w:rsid w:val="008908BE"/>
    <w:rsid w:val="008922CC"/>
    <w:rsid w:val="00894415"/>
    <w:rsid w:val="00896DCB"/>
    <w:rsid w:val="008A0EDE"/>
    <w:rsid w:val="008A119B"/>
    <w:rsid w:val="008A1B1F"/>
    <w:rsid w:val="008A233E"/>
    <w:rsid w:val="008A3511"/>
    <w:rsid w:val="008A7011"/>
    <w:rsid w:val="008A7423"/>
    <w:rsid w:val="008B0EB2"/>
    <w:rsid w:val="008B15E8"/>
    <w:rsid w:val="008B25A7"/>
    <w:rsid w:val="008B5A4E"/>
    <w:rsid w:val="008C48A7"/>
    <w:rsid w:val="008C517E"/>
    <w:rsid w:val="008C636D"/>
    <w:rsid w:val="008C67CA"/>
    <w:rsid w:val="008C7B05"/>
    <w:rsid w:val="008D35D0"/>
    <w:rsid w:val="008E06C2"/>
    <w:rsid w:val="008E0B4D"/>
    <w:rsid w:val="008E4536"/>
    <w:rsid w:val="008E668E"/>
    <w:rsid w:val="008E7634"/>
    <w:rsid w:val="008F3607"/>
    <w:rsid w:val="008F4369"/>
    <w:rsid w:val="008F6B78"/>
    <w:rsid w:val="008F7DD0"/>
    <w:rsid w:val="00902F7C"/>
    <w:rsid w:val="009059DC"/>
    <w:rsid w:val="00906E1A"/>
    <w:rsid w:val="00907F07"/>
    <w:rsid w:val="00910919"/>
    <w:rsid w:val="00910AA9"/>
    <w:rsid w:val="00910CF9"/>
    <w:rsid w:val="00912BB1"/>
    <w:rsid w:val="00915586"/>
    <w:rsid w:val="00922C52"/>
    <w:rsid w:val="009232A6"/>
    <w:rsid w:val="0092543F"/>
    <w:rsid w:val="0092761F"/>
    <w:rsid w:val="0092772E"/>
    <w:rsid w:val="009319F4"/>
    <w:rsid w:val="009334E0"/>
    <w:rsid w:val="00935CBF"/>
    <w:rsid w:val="00940D54"/>
    <w:rsid w:val="0094293A"/>
    <w:rsid w:val="009435E2"/>
    <w:rsid w:val="00943D42"/>
    <w:rsid w:val="009525CF"/>
    <w:rsid w:val="009601DB"/>
    <w:rsid w:val="009620A2"/>
    <w:rsid w:val="00962FA8"/>
    <w:rsid w:val="00963814"/>
    <w:rsid w:val="009658D7"/>
    <w:rsid w:val="00966961"/>
    <w:rsid w:val="0096702D"/>
    <w:rsid w:val="009678DC"/>
    <w:rsid w:val="009712AF"/>
    <w:rsid w:val="00983B61"/>
    <w:rsid w:val="009851D8"/>
    <w:rsid w:val="009867BF"/>
    <w:rsid w:val="00990D41"/>
    <w:rsid w:val="009956CF"/>
    <w:rsid w:val="00996AC9"/>
    <w:rsid w:val="009978B8"/>
    <w:rsid w:val="009A69C1"/>
    <w:rsid w:val="009B1B08"/>
    <w:rsid w:val="009B4038"/>
    <w:rsid w:val="009B4371"/>
    <w:rsid w:val="009B5081"/>
    <w:rsid w:val="009B5579"/>
    <w:rsid w:val="009B61E2"/>
    <w:rsid w:val="009B6CDE"/>
    <w:rsid w:val="009B7445"/>
    <w:rsid w:val="009B7994"/>
    <w:rsid w:val="009B7A0C"/>
    <w:rsid w:val="009C0F41"/>
    <w:rsid w:val="009C2E86"/>
    <w:rsid w:val="009C5C91"/>
    <w:rsid w:val="009C6AE7"/>
    <w:rsid w:val="009C7A71"/>
    <w:rsid w:val="009C7ADA"/>
    <w:rsid w:val="009D0076"/>
    <w:rsid w:val="009E13B6"/>
    <w:rsid w:val="009E1CA4"/>
    <w:rsid w:val="009E2493"/>
    <w:rsid w:val="009E3DAC"/>
    <w:rsid w:val="009E50A0"/>
    <w:rsid w:val="009E6829"/>
    <w:rsid w:val="009E701C"/>
    <w:rsid w:val="009F1459"/>
    <w:rsid w:val="009F2622"/>
    <w:rsid w:val="009F2C3B"/>
    <w:rsid w:val="009F47EE"/>
    <w:rsid w:val="00A05FE3"/>
    <w:rsid w:val="00A068C0"/>
    <w:rsid w:val="00A12433"/>
    <w:rsid w:val="00A17217"/>
    <w:rsid w:val="00A1734F"/>
    <w:rsid w:val="00A174AB"/>
    <w:rsid w:val="00A2106D"/>
    <w:rsid w:val="00A243B2"/>
    <w:rsid w:val="00A254FF"/>
    <w:rsid w:val="00A25FE3"/>
    <w:rsid w:val="00A31C66"/>
    <w:rsid w:val="00A32647"/>
    <w:rsid w:val="00A3352B"/>
    <w:rsid w:val="00A33D80"/>
    <w:rsid w:val="00A33FAB"/>
    <w:rsid w:val="00A3678A"/>
    <w:rsid w:val="00A475FE"/>
    <w:rsid w:val="00A52A25"/>
    <w:rsid w:val="00A550D9"/>
    <w:rsid w:val="00A64164"/>
    <w:rsid w:val="00A675D9"/>
    <w:rsid w:val="00A676B0"/>
    <w:rsid w:val="00A70461"/>
    <w:rsid w:val="00A80606"/>
    <w:rsid w:val="00A81DF0"/>
    <w:rsid w:val="00A82F93"/>
    <w:rsid w:val="00A8332D"/>
    <w:rsid w:val="00A83906"/>
    <w:rsid w:val="00A917D2"/>
    <w:rsid w:val="00A94907"/>
    <w:rsid w:val="00AA1A15"/>
    <w:rsid w:val="00AA7C67"/>
    <w:rsid w:val="00AB1581"/>
    <w:rsid w:val="00AB3D14"/>
    <w:rsid w:val="00AB4539"/>
    <w:rsid w:val="00AB4D67"/>
    <w:rsid w:val="00AB6685"/>
    <w:rsid w:val="00AB6866"/>
    <w:rsid w:val="00AB6AB2"/>
    <w:rsid w:val="00AC0EE2"/>
    <w:rsid w:val="00AC6167"/>
    <w:rsid w:val="00AC6711"/>
    <w:rsid w:val="00AC69B2"/>
    <w:rsid w:val="00AC718C"/>
    <w:rsid w:val="00AD57BC"/>
    <w:rsid w:val="00AE08CA"/>
    <w:rsid w:val="00AE2194"/>
    <w:rsid w:val="00AE4B7E"/>
    <w:rsid w:val="00AE7897"/>
    <w:rsid w:val="00AE79D5"/>
    <w:rsid w:val="00AF0925"/>
    <w:rsid w:val="00AF1714"/>
    <w:rsid w:val="00AF1A59"/>
    <w:rsid w:val="00B0290C"/>
    <w:rsid w:val="00B04392"/>
    <w:rsid w:val="00B06F91"/>
    <w:rsid w:val="00B10ADB"/>
    <w:rsid w:val="00B128EC"/>
    <w:rsid w:val="00B15823"/>
    <w:rsid w:val="00B1714C"/>
    <w:rsid w:val="00B22D22"/>
    <w:rsid w:val="00B234A0"/>
    <w:rsid w:val="00B242CE"/>
    <w:rsid w:val="00B313EA"/>
    <w:rsid w:val="00B31549"/>
    <w:rsid w:val="00B31CDB"/>
    <w:rsid w:val="00B324B2"/>
    <w:rsid w:val="00B32DC9"/>
    <w:rsid w:val="00B351A2"/>
    <w:rsid w:val="00B437CE"/>
    <w:rsid w:val="00B4593F"/>
    <w:rsid w:val="00B47118"/>
    <w:rsid w:val="00B556E7"/>
    <w:rsid w:val="00B5751E"/>
    <w:rsid w:val="00B57588"/>
    <w:rsid w:val="00B61118"/>
    <w:rsid w:val="00B66429"/>
    <w:rsid w:val="00B6768F"/>
    <w:rsid w:val="00B764DD"/>
    <w:rsid w:val="00B775C4"/>
    <w:rsid w:val="00B81C78"/>
    <w:rsid w:val="00B872AE"/>
    <w:rsid w:val="00B913A0"/>
    <w:rsid w:val="00B972E0"/>
    <w:rsid w:val="00B97C7E"/>
    <w:rsid w:val="00BA1516"/>
    <w:rsid w:val="00BA17BF"/>
    <w:rsid w:val="00BA40FA"/>
    <w:rsid w:val="00BA6570"/>
    <w:rsid w:val="00BA6827"/>
    <w:rsid w:val="00BA7A03"/>
    <w:rsid w:val="00BB0281"/>
    <w:rsid w:val="00BB0779"/>
    <w:rsid w:val="00BB2185"/>
    <w:rsid w:val="00BB5A1B"/>
    <w:rsid w:val="00BC3009"/>
    <w:rsid w:val="00BD3CFA"/>
    <w:rsid w:val="00BD5D46"/>
    <w:rsid w:val="00BD6DB0"/>
    <w:rsid w:val="00BD732F"/>
    <w:rsid w:val="00BE112F"/>
    <w:rsid w:val="00BE4774"/>
    <w:rsid w:val="00BE4AFC"/>
    <w:rsid w:val="00BE6306"/>
    <w:rsid w:val="00BE7015"/>
    <w:rsid w:val="00BF1164"/>
    <w:rsid w:val="00BF1425"/>
    <w:rsid w:val="00BF1D92"/>
    <w:rsid w:val="00BF222D"/>
    <w:rsid w:val="00BF3CBD"/>
    <w:rsid w:val="00BF47F3"/>
    <w:rsid w:val="00BF7BC3"/>
    <w:rsid w:val="00BF7DBB"/>
    <w:rsid w:val="00C000E2"/>
    <w:rsid w:val="00C00A87"/>
    <w:rsid w:val="00C063B4"/>
    <w:rsid w:val="00C06A42"/>
    <w:rsid w:val="00C0748E"/>
    <w:rsid w:val="00C07558"/>
    <w:rsid w:val="00C122DE"/>
    <w:rsid w:val="00C12869"/>
    <w:rsid w:val="00C16904"/>
    <w:rsid w:val="00C17D29"/>
    <w:rsid w:val="00C221CD"/>
    <w:rsid w:val="00C27DC5"/>
    <w:rsid w:val="00C30A97"/>
    <w:rsid w:val="00C321D9"/>
    <w:rsid w:val="00C33AB9"/>
    <w:rsid w:val="00C33E54"/>
    <w:rsid w:val="00C3588E"/>
    <w:rsid w:val="00C368A6"/>
    <w:rsid w:val="00C40C80"/>
    <w:rsid w:val="00C47197"/>
    <w:rsid w:val="00C47BBB"/>
    <w:rsid w:val="00C5102C"/>
    <w:rsid w:val="00C54108"/>
    <w:rsid w:val="00C5558A"/>
    <w:rsid w:val="00C55CC2"/>
    <w:rsid w:val="00C6172A"/>
    <w:rsid w:val="00C627DC"/>
    <w:rsid w:val="00C630A9"/>
    <w:rsid w:val="00C739AC"/>
    <w:rsid w:val="00C75BC0"/>
    <w:rsid w:val="00C75F39"/>
    <w:rsid w:val="00C775FE"/>
    <w:rsid w:val="00C77DA8"/>
    <w:rsid w:val="00C8341C"/>
    <w:rsid w:val="00C83833"/>
    <w:rsid w:val="00C86ED4"/>
    <w:rsid w:val="00C874B6"/>
    <w:rsid w:val="00CA1028"/>
    <w:rsid w:val="00CA2CA1"/>
    <w:rsid w:val="00CA41EA"/>
    <w:rsid w:val="00CA4916"/>
    <w:rsid w:val="00CA5438"/>
    <w:rsid w:val="00CA5689"/>
    <w:rsid w:val="00CA59FC"/>
    <w:rsid w:val="00CB0859"/>
    <w:rsid w:val="00CB14E2"/>
    <w:rsid w:val="00CB6D88"/>
    <w:rsid w:val="00CB7422"/>
    <w:rsid w:val="00CB788A"/>
    <w:rsid w:val="00CC1EBC"/>
    <w:rsid w:val="00CC4EF3"/>
    <w:rsid w:val="00CC724F"/>
    <w:rsid w:val="00CC74B1"/>
    <w:rsid w:val="00CD05FF"/>
    <w:rsid w:val="00CD3452"/>
    <w:rsid w:val="00CD3DC4"/>
    <w:rsid w:val="00CD3FF0"/>
    <w:rsid w:val="00CD6EF7"/>
    <w:rsid w:val="00CE3427"/>
    <w:rsid w:val="00CE42D7"/>
    <w:rsid w:val="00CE581B"/>
    <w:rsid w:val="00CE620E"/>
    <w:rsid w:val="00CF05CB"/>
    <w:rsid w:val="00CF3E99"/>
    <w:rsid w:val="00CF4D76"/>
    <w:rsid w:val="00CF526F"/>
    <w:rsid w:val="00CF646F"/>
    <w:rsid w:val="00CF65AD"/>
    <w:rsid w:val="00CF6BCD"/>
    <w:rsid w:val="00D01570"/>
    <w:rsid w:val="00D02461"/>
    <w:rsid w:val="00D03B52"/>
    <w:rsid w:val="00D1066C"/>
    <w:rsid w:val="00D10A13"/>
    <w:rsid w:val="00D11848"/>
    <w:rsid w:val="00D166E2"/>
    <w:rsid w:val="00D22C17"/>
    <w:rsid w:val="00D31056"/>
    <w:rsid w:val="00D33067"/>
    <w:rsid w:val="00D33F07"/>
    <w:rsid w:val="00D349C5"/>
    <w:rsid w:val="00D452FA"/>
    <w:rsid w:val="00D47387"/>
    <w:rsid w:val="00D5434F"/>
    <w:rsid w:val="00D54E05"/>
    <w:rsid w:val="00D56778"/>
    <w:rsid w:val="00D5756D"/>
    <w:rsid w:val="00D61404"/>
    <w:rsid w:val="00D6182C"/>
    <w:rsid w:val="00D70681"/>
    <w:rsid w:val="00D708B9"/>
    <w:rsid w:val="00D70F18"/>
    <w:rsid w:val="00D72948"/>
    <w:rsid w:val="00D80ECC"/>
    <w:rsid w:val="00D8377C"/>
    <w:rsid w:val="00D850FD"/>
    <w:rsid w:val="00D85436"/>
    <w:rsid w:val="00D865A7"/>
    <w:rsid w:val="00D90407"/>
    <w:rsid w:val="00D95769"/>
    <w:rsid w:val="00D96B0B"/>
    <w:rsid w:val="00DA21BF"/>
    <w:rsid w:val="00DA2436"/>
    <w:rsid w:val="00DA27F5"/>
    <w:rsid w:val="00DA2C52"/>
    <w:rsid w:val="00DA5898"/>
    <w:rsid w:val="00DB1B19"/>
    <w:rsid w:val="00DB2AD3"/>
    <w:rsid w:val="00DC1D66"/>
    <w:rsid w:val="00DC61C8"/>
    <w:rsid w:val="00DD5379"/>
    <w:rsid w:val="00DD561F"/>
    <w:rsid w:val="00DD7FD0"/>
    <w:rsid w:val="00DE015E"/>
    <w:rsid w:val="00DE0C24"/>
    <w:rsid w:val="00DE1A2E"/>
    <w:rsid w:val="00DF0212"/>
    <w:rsid w:val="00E01475"/>
    <w:rsid w:val="00E05AF0"/>
    <w:rsid w:val="00E101C9"/>
    <w:rsid w:val="00E117A1"/>
    <w:rsid w:val="00E13A21"/>
    <w:rsid w:val="00E149F5"/>
    <w:rsid w:val="00E14D85"/>
    <w:rsid w:val="00E16161"/>
    <w:rsid w:val="00E20825"/>
    <w:rsid w:val="00E21CA9"/>
    <w:rsid w:val="00E2361A"/>
    <w:rsid w:val="00E27EA6"/>
    <w:rsid w:val="00E33CDD"/>
    <w:rsid w:val="00E35CCA"/>
    <w:rsid w:val="00E36032"/>
    <w:rsid w:val="00E41BAA"/>
    <w:rsid w:val="00E41C6C"/>
    <w:rsid w:val="00E425A6"/>
    <w:rsid w:val="00E47AC7"/>
    <w:rsid w:val="00E5116D"/>
    <w:rsid w:val="00E52C99"/>
    <w:rsid w:val="00E5380A"/>
    <w:rsid w:val="00E62667"/>
    <w:rsid w:val="00E62896"/>
    <w:rsid w:val="00E635A1"/>
    <w:rsid w:val="00E650BF"/>
    <w:rsid w:val="00E66073"/>
    <w:rsid w:val="00E66291"/>
    <w:rsid w:val="00E66459"/>
    <w:rsid w:val="00E6714F"/>
    <w:rsid w:val="00E72376"/>
    <w:rsid w:val="00E73987"/>
    <w:rsid w:val="00E7665B"/>
    <w:rsid w:val="00E81002"/>
    <w:rsid w:val="00E82E07"/>
    <w:rsid w:val="00E83778"/>
    <w:rsid w:val="00E84B2B"/>
    <w:rsid w:val="00E908BA"/>
    <w:rsid w:val="00E96636"/>
    <w:rsid w:val="00EA17A7"/>
    <w:rsid w:val="00EA2128"/>
    <w:rsid w:val="00EA246C"/>
    <w:rsid w:val="00EA42A5"/>
    <w:rsid w:val="00EA44A8"/>
    <w:rsid w:val="00EA48D4"/>
    <w:rsid w:val="00EA61D3"/>
    <w:rsid w:val="00EB1A98"/>
    <w:rsid w:val="00EB1F77"/>
    <w:rsid w:val="00EB3D45"/>
    <w:rsid w:val="00EB621A"/>
    <w:rsid w:val="00EB6916"/>
    <w:rsid w:val="00EB6F19"/>
    <w:rsid w:val="00EC00B8"/>
    <w:rsid w:val="00EC087C"/>
    <w:rsid w:val="00EC08B5"/>
    <w:rsid w:val="00EC3BB8"/>
    <w:rsid w:val="00EC6895"/>
    <w:rsid w:val="00EC7674"/>
    <w:rsid w:val="00ED395A"/>
    <w:rsid w:val="00EE085F"/>
    <w:rsid w:val="00EE4611"/>
    <w:rsid w:val="00EF1CDC"/>
    <w:rsid w:val="00EF5C55"/>
    <w:rsid w:val="00F011AE"/>
    <w:rsid w:val="00F02FA7"/>
    <w:rsid w:val="00F11DC4"/>
    <w:rsid w:val="00F11FB0"/>
    <w:rsid w:val="00F123E8"/>
    <w:rsid w:val="00F1284B"/>
    <w:rsid w:val="00F12F70"/>
    <w:rsid w:val="00F141A8"/>
    <w:rsid w:val="00F16EB6"/>
    <w:rsid w:val="00F21A6C"/>
    <w:rsid w:val="00F25421"/>
    <w:rsid w:val="00F2577C"/>
    <w:rsid w:val="00F25943"/>
    <w:rsid w:val="00F30221"/>
    <w:rsid w:val="00F31996"/>
    <w:rsid w:val="00F32013"/>
    <w:rsid w:val="00F3563C"/>
    <w:rsid w:val="00F374CF"/>
    <w:rsid w:val="00F412D8"/>
    <w:rsid w:val="00F42C95"/>
    <w:rsid w:val="00F466FA"/>
    <w:rsid w:val="00F521BF"/>
    <w:rsid w:val="00F54D3F"/>
    <w:rsid w:val="00F56401"/>
    <w:rsid w:val="00F61610"/>
    <w:rsid w:val="00F61D41"/>
    <w:rsid w:val="00F656D0"/>
    <w:rsid w:val="00F66012"/>
    <w:rsid w:val="00F66D6A"/>
    <w:rsid w:val="00F67496"/>
    <w:rsid w:val="00F71E8A"/>
    <w:rsid w:val="00F740A3"/>
    <w:rsid w:val="00F75A6D"/>
    <w:rsid w:val="00F800BB"/>
    <w:rsid w:val="00F82EB9"/>
    <w:rsid w:val="00F834B2"/>
    <w:rsid w:val="00F85251"/>
    <w:rsid w:val="00F86679"/>
    <w:rsid w:val="00F92D3F"/>
    <w:rsid w:val="00F93736"/>
    <w:rsid w:val="00F943B7"/>
    <w:rsid w:val="00FA2988"/>
    <w:rsid w:val="00FA29FB"/>
    <w:rsid w:val="00FA6A4E"/>
    <w:rsid w:val="00FA7DE1"/>
    <w:rsid w:val="00FC34B4"/>
    <w:rsid w:val="00FC7859"/>
    <w:rsid w:val="00FD286A"/>
    <w:rsid w:val="00FD7C17"/>
    <w:rsid w:val="00FE444E"/>
    <w:rsid w:val="00FE6532"/>
    <w:rsid w:val="00FE76A1"/>
    <w:rsid w:val="00FF3768"/>
    <w:rsid w:val="00FF6075"/>
    <w:rsid w:val="00FF68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669CF"/>
  <w15:docId w15:val="{B803255E-69D4-4CD2-9DD4-8B041EF6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4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6A42"/>
    <w:pPr>
      <w:tabs>
        <w:tab w:val="center" w:pos="4320"/>
        <w:tab w:val="right" w:pos="8640"/>
      </w:tabs>
      <w:spacing w:after="0" w:line="240" w:lineRule="auto"/>
    </w:pPr>
    <w:rPr>
      <w:rFonts w:ascii="Times New Roman" w:eastAsia="Times New Roman" w:hAnsi="Times New Roman"/>
      <w:sz w:val="24"/>
      <w:szCs w:val="24"/>
      <w:lang w:eastAsia="el-GR"/>
    </w:rPr>
  </w:style>
  <w:style w:type="character" w:customStyle="1" w:styleId="HeaderChar">
    <w:name w:val="Header Char"/>
    <w:basedOn w:val="DefaultParagraphFont"/>
    <w:link w:val="Header"/>
    <w:uiPriority w:val="99"/>
    <w:semiHidden/>
    <w:rsid w:val="00DA5A47"/>
    <w:rPr>
      <w:lang w:eastAsia="en-US"/>
    </w:rPr>
  </w:style>
  <w:style w:type="character" w:customStyle="1" w:styleId="Char">
    <w:name w:val="Κεφαλίδα Char"/>
    <w:basedOn w:val="DefaultParagraphFont"/>
    <w:uiPriority w:val="99"/>
    <w:rsid w:val="00C06A42"/>
    <w:rPr>
      <w:rFonts w:ascii="Times New Roman" w:hAnsi="Times New Roman" w:cs="Times New Roman"/>
      <w:sz w:val="24"/>
      <w:szCs w:val="24"/>
      <w:lang w:eastAsia="el-GR"/>
    </w:rPr>
  </w:style>
  <w:style w:type="paragraph" w:customStyle="1" w:styleId="1">
    <w:name w:val="Παράγραφος λίστας1"/>
    <w:basedOn w:val="Normal"/>
    <w:uiPriority w:val="99"/>
    <w:rsid w:val="00C06A42"/>
    <w:pPr>
      <w:ind w:left="720"/>
      <w:contextualSpacing/>
    </w:pPr>
  </w:style>
  <w:style w:type="paragraph" w:styleId="PlainText">
    <w:name w:val="Plain Text"/>
    <w:basedOn w:val="Normal"/>
    <w:link w:val="PlainTextChar"/>
    <w:uiPriority w:val="99"/>
    <w:semiHidden/>
    <w:rsid w:val="00C06A4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5A47"/>
    <w:rPr>
      <w:rFonts w:ascii="Courier New" w:hAnsi="Courier New" w:cs="Courier New"/>
      <w:sz w:val="20"/>
      <w:szCs w:val="20"/>
      <w:lang w:eastAsia="en-US"/>
    </w:rPr>
  </w:style>
  <w:style w:type="character" w:customStyle="1" w:styleId="Char0">
    <w:name w:val="Απλό κείμενο Char"/>
    <w:basedOn w:val="DefaultParagraphFont"/>
    <w:uiPriority w:val="99"/>
    <w:semiHidden/>
    <w:rsid w:val="00C06A42"/>
    <w:rPr>
      <w:rFonts w:ascii="Consolas" w:eastAsia="Times New Roman" w:hAnsi="Consolas" w:cs="Times New Roman"/>
      <w:sz w:val="21"/>
      <w:szCs w:val="21"/>
      <w:lang w:eastAsia="en-US"/>
    </w:rPr>
  </w:style>
  <w:style w:type="paragraph" w:styleId="Footer">
    <w:name w:val="footer"/>
    <w:basedOn w:val="Normal"/>
    <w:link w:val="FooterChar"/>
    <w:uiPriority w:val="99"/>
    <w:rsid w:val="00C06A42"/>
    <w:pPr>
      <w:tabs>
        <w:tab w:val="center" w:pos="4153"/>
        <w:tab w:val="right" w:pos="8306"/>
      </w:tabs>
    </w:pPr>
  </w:style>
  <w:style w:type="character" w:customStyle="1" w:styleId="FooterChar">
    <w:name w:val="Footer Char"/>
    <w:basedOn w:val="DefaultParagraphFont"/>
    <w:link w:val="Footer"/>
    <w:uiPriority w:val="99"/>
    <w:semiHidden/>
    <w:rsid w:val="00DA5A47"/>
    <w:rPr>
      <w:lang w:eastAsia="en-US"/>
    </w:rPr>
  </w:style>
  <w:style w:type="character" w:customStyle="1" w:styleId="Char1">
    <w:name w:val="Υποσέλιδο Char"/>
    <w:basedOn w:val="DefaultParagraphFont"/>
    <w:uiPriority w:val="99"/>
    <w:rsid w:val="00C06A42"/>
    <w:rPr>
      <w:rFonts w:cs="Times New Roman"/>
      <w:sz w:val="22"/>
      <w:szCs w:val="22"/>
      <w:lang w:eastAsia="en-US"/>
    </w:rPr>
  </w:style>
  <w:style w:type="character" w:styleId="PageNumber">
    <w:name w:val="page number"/>
    <w:basedOn w:val="DefaultParagraphFont"/>
    <w:uiPriority w:val="99"/>
    <w:semiHidden/>
    <w:rsid w:val="00C06A42"/>
    <w:rPr>
      <w:rFonts w:cs="Times New Roman"/>
    </w:rPr>
  </w:style>
  <w:style w:type="paragraph" w:styleId="ListParagraph">
    <w:name w:val="List Paragraph"/>
    <w:basedOn w:val="Normal"/>
    <w:uiPriority w:val="34"/>
    <w:qFormat/>
    <w:rsid w:val="000839C7"/>
    <w:pPr>
      <w:ind w:left="720"/>
      <w:contextualSpacing/>
    </w:pPr>
  </w:style>
  <w:style w:type="paragraph" w:styleId="BalloonText">
    <w:name w:val="Balloon Text"/>
    <w:basedOn w:val="Normal"/>
    <w:link w:val="BalloonTextChar"/>
    <w:uiPriority w:val="99"/>
    <w:semiHidden/>
    <w:rsid w:val="00A1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7217"/>
    <w:rPr>
      <w:rFonts w:ascii="Tahoma" w:hAnsi="Tahoma" w:cs="Tahoma"/>
      <w:sz w:val="16"/>
      <w:szCs w:val="16"/>
      <w:lang w:eastAsia="en-US"/>
    </w:rPr>
  </w:style>
  <w:style w:type="table" w:styleId="TableGrid">
    <w:name w:val="Table Grid"/>
    <w:basedOn w:val="TableNormal"/>
    <w:locked/>
    <w:rsid w:val="009B61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F7A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163849"/>
  </w:style>
  <w:style w:type="character" w:styleId="Hyperlink">
    <w:name w:val="Hyperlink"/>
    <w:basedOn w:val="DefaultParagraphFont"/>
    <w:uiPriority w:val="99"/>
    <w:unhideWhenUsed/>
    <w:rsid w:val="00551C9B"/>
    <w:rPr>
      <w:color w:val="0000FF" w:themeColor="hyperlink"/>
      <w:u w:val="single"/>
    </w:rPr>
  </w:style>
  <w:style w:type="paragraph" w:styleId="FootnoteText">
    <w:name w:val="footnote text"/>
    <w:basedOn w:val="Normal"/>
    <w:link w:val="FootnoteTextChar"/>
    <w:uiPriority w:val="99"/>
    <w:semiHidden/>
    <w:unhideWhenUsed/>
    <w:rsid w:val="00A8390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83906"/>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A83906"/>
    <w:rPr>
      <w:vertAlign w:val="superscript"/>
    </w:rPr>
  </w:style>
  <w:style w:type="character" w:customStyle="1" w:styleId="UnresolvedMention">
    <w:name w:val="Unresolved Mention"/>
    <w:basedOn w:val="DefaultParagraphFont"/>
    <w:uiPriority w:val="99"/>
    <w:semiHidden/>
    <w:unhideWhenUsed/>
    <w:rsid w:val="00A8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8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ef.gr/pdf/Theseis_SPEF_M161220_diavoulefsi_exisoropis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B087-1ED9-4822-B899-BDF03889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4166</Words>
  <Characters>22499</Characters>
  <Application>Microsoft Office Word</Application>
  <DocSecurity>0</DocSecurity>
  <Lines>187</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ΣΥΝΔΕΣΜΟΣ ΠΑΡΑΓΩΓΩΝ ΕΝΕΡΓΕΙΑΣ με ΦΩΤΟΒΟΛΤΑΪΚΑ</vt:lpstr>
      <vt:lpstr>ΣΥΝΔΕΣΜΟΣ ΠΑΡΑΓΩΓΩΝ ΕΝΕΡΓΕΙΑΣ με ΦΩΤΟΒΟΛΤΑΪΚΑ</vt:lpstr>
    </vt:vector>
  </TitlesOfParts>
  <Company>SDL Solar</Company>
  <LinksUpToDate>false</LinksUpToDate>
  <CharactersWithSpaces>26612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ΣΥΝΔΕΣΜΟΣ ΠΑΡΑΓΩΓΩΝ ΕΝΕΡΓΕΙΑΣ με ΦΩΤΟΒΟΛΤΑΪΚΑ</dc:title>
  <dc:creator>TurboX</dc:creator>
  <cp:lastModifiedBy>Ματίνα</cp:lastModifiedBy>
  <cp:revision>2</cp:revision>
  <cp:lastPrinted>2020-12-20T12:14:00Z</cp:lastPrinted>
  <dcterms:created xsi:type="dcterms:W3CDTF">2020-12-20T16:54:00Z</dcterms:created>
  <dcterms:modified xsi:type="dcterms:W3CDTF">2020-12-20T16:54:00Z</dcterms:modified>
</cp:coreProperties>
</file>